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9.xml" ContentType="application/vnd.openxmlformats-officedocument.wordprocessingml.foot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74"/>
        <w:rPr>
          <w:rFonts w:ascii="仿宋" w:hAnsi="仿宋" w:eastAsia="仿宋" w:cs="仿宋"/>
          <w:highlight w:val="none"/>
        </w:rPr>
      </w:pPr>
      <w:r/>
      <w:bookmarkStart w:id="35" w:name="_GoBack"/>
      <w:r/>
      <w:r/>
    </w:p>
    <w:p>
      <w:pPr>
        <w:pStyle w:val="1068"/>
        <w:jc w:val="right"/>
        <w:rPr>
          <w:rFonts w:ascii="仿宋" w:hAnsi="仿宋" w:eastAsia="仿宋" w:cs="仿宋"/>
          <w:highlight w:val="none"/>
        </w:rPr>
      </w:pPr>
      <w:r>
        <w:rPr>
          <w:rFonts w:ascii="仿宋" w:hAnsi="仿宋" w:eastAsia="仿宋" w:cs="仿宋"/>
          <w:highlight w:val="none"/>
        </w:rPr>
      </w:r>
      <w:r/>
    </w:p>
    <w:p>
      <w:pPr>
        <w:pStyle w:val="1068"/>
        <w:rPr>
          <w:rFonts w:ascii="仿宋" w:hAnsi="仿宋" w:eastAsia="仿宋" w:cs="仿宋"/>
          <w:highlight w:val="none"/>
        </w:rPr>
      </w:pPr>
      <w:r>
        <w:rPr>
          <w:rFonts w:ascii="仿宋" w:hAnsi="仿宋" w:eastAsia="仿宋" w:cs="仿宋"/>
          <w:highlight w:val="none"/>
        </w:rPr>
      </w:r>
      <w:r/>
    </w:p>
    <w:p>
      <w:pPr>
        <w:pStyle w:val="1274"/>
        <w:rPr>
          <w:rFonts w:ascii="仿宋" w:hAnsi="仿宋" w:eastAsia="仿宋" w:cs="仿宋"/>
          <w:highlight w:val="none"/>
        </w:rPr>
      </w:pPr>
      <w:r>
        <w:rPr>
          <w:rFonts w:ascii="仿宋" w:hAnsi="仿宋" w:eastAsia="仿宋" w:cs="仿宋"/>
          <w:highlight w:val="none"/>
        </w:rPr>
      </w:r>
      <w:r/>
    </w:p>
    <w:p>
      <w:pPr>
        <w:pStyle w:val="1270"/>
        <w:jc w:val="center"/>
        <w:spacing w:line="360" w:lineRule="auto"/>
        <w:widowControl w:val="off"/>
        <w:rPr>
          <w:rStyle w:val="1312"/>
          <w:rFonts w:ascii="仿宋" w:hAnsi="仿宋" w:eastAsia="仿宋" w:cs="仿宋"/>
          <w:sz w:val="110"/>
          <w:highlight w:val="none"/>
        </w:rPr>
      </w:pPr>
      <w:r>
        <w:rPr>
          <w:rStyle w:val="1312"/>
          <w:rFonts w:hint="eastAsia" w:ascii="仿宋" w:hAnsi="仿宋" w:eastAsia="仿宋" w:cs="仿宋"/>
          <w:sz w:val="110"/>
          <w:highlight w:val="none"/>
        </w:rPr>
        <w:t xml:space="preserve">竞争性磋商文件</w:t>
      </w:r>
      <w:r/>
    </w:p>
    <w:p>
      <w:pPr>
        <w:pStyle w:val="1270"/>
        <w:jc w:val="left"/>
        <w:widowControl w:val="off"/>
        <w:rPr>
          <w:rStyle w:val="1312"/>
          <w:rFonts w:ascii="仿宋" w:hAnsi="仿宋" w:eastAsia="仿宋" w:cs="仿宋"/>
          <w:b/>
          <w:sz w:val="32"/>
          <w:highlight w:val="none"/>
        </w:rPr>
      </w:pPr>
      <w:r>
        <w:rPr>
          <w:rFonts w:ascii="仿宋" w:hAnsi="仿宋" w:eastAsia="仿宋" w:cs="仿宋"/>
          <w:b/>
          <w:sz w:val="32"/>
          <w:highlight w:val="none"/>
        </w:rPr>
      </w:r>
      <w:r/>
    </w:p>
    <w:p>
      <w:pPr>
        <w:pStyle w:val="1270"/>
        <w:jc w:val="left"/>
        <w:widowControl w:val="off"/>
        <w:rPr>
          <w:rStyle w:val="1312"/>
          <w:rFonts w:ascii="仿宋" w:hAnsi="仿宋" w:eastAsia="仿宋" w:cs="仿宋"/>
          <w:b/>
          <w:sz w:val="32"/>
          <w:highlight w:val="none"/>
        </w:rPr>
      </w:pPr>
      <w:r>
        <w:rPr>
          <w:rFonts w:ascii="仿宋" w:hAnsi="仿宋" w:eastAsia="仿宋" w:cs="仿宋"/>
          <w:b/>
          <w:sz w:val="32"/>
          <w:highlight w:val="none"/>
        </w:rPr>
      </w:r>
      <w:r/>
    </w:p>
    <w:p>
      <w:pPr>
        <w:pStyle w:val="1270"/>
        <w:ind w:firstLine="630"/>
        <w:jc w:val="left"/>
        <w:widowControl w:val="off"/>
        <w:rPr>
          <w:rStyle w:val="1312"/>
          <w:rFonts w:ascii="仿宋" w:hAnsi="仿宋" w:eastAsia="仿宋" w:cs="仿宋"/>
          <w:sz w:val="32"/>
          <w:highlight w:val="none"/>
        </w:rPr>
      </w:pPr>
      <w:r>
        <w:rPr>
          <w:rFonts w:ascii="仿宋" w:hAnsi="仿宋" w:eastAsia="仿宋" w:cs="仿宋"/>
          <w:sz w:val="32"/>
          <w:highlight w:val="none"/>
        </w:rPr>
      </w:r>
      <w:r/>
    </w:p>
    <w:p>
      <w:pPr>
        <w:pStyle w:val="1270"/>
        <w:ind w:left="2877" w:hanging="1600"/>
        <w:jc w:val="left"/>
        <w:spacing w:line="360" w:lineRule="auto"/>
        <w:widowControl w:val="off"/>
        <w:rPr>
          <w:rStyle w:val="1312"/>
          <w:rFonts w:ascii="仿宋" w:hAnsi="仿宋" w:eastAsia="仿宋" w:cs="仿宋"/>
          <w:sz w:val="32"/>
          <w:highlight w:val="none"/>
        </w:rPr>
      </w:pPr>
      <w:r>
        <w:rPr>
          <w:rStyle w:val="1312"/>
          <w:rFonts w:hint="eastAsia" w:ascii="仿宋" w:hAnsi="仿宋" w:eastAsia="仿宋" w:cs="仿宋"/>
          <w:sz w:val="32"/>
          <w:highlight w:val="none"/>
        </w:rPr>
        <w:t xml:space="preserve">项目名称：巡特警支队训练场地整治项目</w:t>
      </w:r>
      <w:r/>
    </w:p>
    <w:p>
      <w:pPr>
        <w:pStyle w:val="1270"/>
        <w:ind w:left="2877" w:hanging="1600"/>
        <w:jc w:val="left"/>
        <w:spacing w:line="360" w:lineRule="auto"/>
        <w:widowControl w:val="off"/>
        <w:rPr>
          <w:rStyle w:val="1312"/>
          <w:rFonts w:hint="eastAsia" w:ascii="仿宋" w:hAnsi="仿宋" w:eastAsia="仿宋" w:cs="仿宋"/>
          <w:sz w:val="32"/>
          <w:highlight w:val="none"/>
        </w:rPr>
      </w:pPr>
      <w:r>
        <w:rPr>
          <w:rStyle w:val="1312"/>
          <w:rFonts w:hint="eastAsia" w:ascii="仿宋" w:hAnsi="仿宋" w:eastAsia="仿宋" w:cs="仿宋"/>
          <w:sz w:val="32"/>
          <w:highlight w:val="none"/>
        </w:rPr>
        <w:t xml:space="preserve">项目编号：JSZC-320300-XZBP-C2026-0012  </w:t>
      </w:r>
      <w:r/>
    </w:p>
    <w:p>
      <w:pPr>
        <w:pStyle w:val="1270"/>
        <w:ind w:left="840" w:firstLine="420"/>
        <w:jc w:val="left"/>
        <w:spacing w:line="360" w:lineRule="auto"/>
        <w:widowControl w:val="off"/>
        <w:rPr>
          <w:rStyle w:val="1312"/>
          <w:rFonts w:ascii="仿宋" w:hAnsi="仿宋" w:eastAsia="仿宋" w:cs="仿宋"/>
          <w:sz w:val="32"/>
          <w:highlight w:val="none"/>
        </w:rPr>
      </w:pPr>
      <w:r>
        <w:rPr>
          <w:rStyle w:val="1312"/>
          <w:rFonts w:hint="eastAsia" w:ascii="仿宋" w:hAnsi="仿宋" w:eastAsia="仿宋" w:cs="仿宋"/>
          <w:sz w:val="32"/>
          <w:highlight w:val="none"/>
        </w:rPr>
        <w:t xml:space="preserve">采 购 人：徐州市公安局</w:t>
      </w:r>
      <w:r/>
    </w:p>
    <w:p>
      <w:pPr>
        <w:pStyle w:val="1270"/>
        <w:ind w:firstLine="960"/>
        <w:jc w:val="left"/>
        <w:widowControl w:val="off"/>
        <w:rPr>
          <w:rStyle w:val="1312"/>
          <w:rFonts w:ascii="仿宋" w:hAnsi="仿宋" w:eastAsia="仿宋" w:cs="仿宋"/>
          <w:sz w:val="32"/>
          <w:highlight w:val="none"/>
        </w:rPr>
      </w:pPr>
      <w:r>
        <w:rPr>
          <w:rFonts w:ascii="仿宋" w:hAnsi="仿宋" w:eastAsia="仿宋" w:cs="仿宋"/>
          <w:sz w:val="32"/>
          <w:highlight w:val="none"/>
        </w:rPr>
      </w:r>
      <w:r/>
    </w:p>
    <w:p>
      <w:pPr>
        <w:pStyle w:val="1270"/>
        <w:jc w:val="center"/>
        <w:widowControl w:val="off"/>
        <w:rPr>
          <w:rStyle w:val="1312"/>
          <w:rFonts w:ascii="仿宋" w:hAnsi="仿宋" w:eastAsia="仿宋" w:cs="仿宋"/>
          <w:sz w:val="32"/>
          <w:highlight w:val="none"/>
        </w:rPr>
      </w:pPr>
      <w:r>
        <w:rPr>
          <w:rFonts w:ascii="仿宋" w:hAnsi="仿宋" w:eastAsia="仿宋" w:cs="仿宋"/>
          <w:sz w:val="32"/>
          <w:highlight w:val="none"/>
        </w:rPr>
      </w:r>
      <w:r/>
    </w:p>
    <w:p>
      <w:pPr>
        <w:pStyle w:val="1274"/>
        <w:rPr>
          <w:rStyle w:val="1312"/>
          <w:rFonts w:ascii="仿宋" w:hAnsi="仿宋" w:eastAsia="仿宋" w:cs="仿宋"/>
          <w:sz w:val="32"/>
          <w:highlight w:val="none"/>
        </w:rPr>
      </w:pPr>
      <w:r>
        <w:rPr>
          <w:rFonts w:ascii="仿宋" w:hAnsi="仿宋" w:eastAsia="仿宋" w:cs="仿宋"/>
          <w:sz w:val="32"/>
          <w:highlight w:val="none"/>
        </w:rPr>
      </w:r>
      <w:r/>
    </w:p>
    <w:p>
      <w:pPr>
        <w:pStyle w:val="1274"/>
        <w:rPr>
          <w:rStyle w:val="1312"/>
          <w:rFonts w:ascii="仿宋" w:hAnsi="仿宋" w:eastAsia="仿宋" w:cs="仿宋"/>
          <w:sz w:val="32"/>
          <w:highlight w:val="none"/>
        </w:rPr>
      </w:pPr>
      <w:r>
        <w:rPr>
          <w:rFonts w:ascii="仿宋" w:hAnsi="仿宋" w:eastAsia="仿宋" w:cs="仿宋"/>
          <w:sz w:val="32"/>
          <w:highlight w:val="none"/>
        </w:rPr>
      </w:r>
      <w:r/>
    </w:p>
    <w:p>
      <w:pPr>
        <w:pStyle w:val="1274"/>
        <w:rPr>
          <w:rStyle w:val="1312"/>
          <w:rFonts w:ascii="仿宋" w:hAnsi="仿宋" w:eastAsia="仿宋" w:cs="仿宋"/>
          <w:sz w:val="32"/>
          <w:highlight w:val="none"/>
        </w:rPr>
      </w:pPr>
      <w:r>
        <w:rPr>
          <w:rFonts w:ascii="仿宋" w:hAnsi="仿宋" w:eastAsia="仿宋" w:cs="仿宋"/>
          <w:sz w:val="32"/>
          <w:highlight w:val="none"/>
        </w:rPr>
      </w:r>
      <w:r/>
    </w:p>
    <w:p>
      <w:pPr>
        <w:pStyle w:val="1274"/>
        <w:rPr>
          <w:rStyle w:val="1312"/>
          <w:rFonts w:ascii="仿宋" w:hAnsi="仿宋" w:eastAsia="仿宋" w:cs="仿宋"/>
          <w:sz w:val="32"/>
          <w:highlight w:val="none"/>
        </w:rPr>
      </w:pPr>
      <w:r>
        <w:rPr>
          <w:rFonts w:ascii="仿宋" w:hAnsi="仿宋" w:eastAsia="仿宋" w:cs="仿宋"/>
          <w:sz w:val="32"/>
          <w:highlight w:val="none"/>
        </w:rPr>
      </w:r>
      <w:r/>
    </w:p>
    <w:p>
      <w:pPr>
        <w:pStyle w:val="1274"/>
        <w:rPr>
          <w:rStyle w:val="1312"/>
          <w:rFonts w:ascii="仿宋" w:hAnsi="仿宋" w:eastAsia="仿宋" w:cs="仿宋"/>
          <w:sz w:val="32"/>
          <w:highlight w:val="none"/>
        </w:rPr>
      </w:pPr>
      <w:r>
        <w:rPr>
          <w:rFonts w:ascii="仿宋" w:hAnsi="仿宋" w:eastAsia="仿宋" w:cs="仿宋"/>
          <w:sz w:val="32"/>
          <w:highlight w:val="none"/>
        </w:rPr>
      </w:r>
      <w:r/>
    </w:p>
    <w:p>
      <w:pPr>
        <w:pStyle w:val="1274"/>
        <w:ind w:left="0" w:firstLine="0"/>
        <w:jc w:val="center"/>
        <w:rPr>
          <w:rStyle w:val="1312"/>
          <w:rFonts w:ascii="仿宋" w:hAnsi="仿宋" w:eastAsia="仿宋" w:cs="仿宋"/>
          <w:sz w:val="32"/>
          <w:highlight w:val="none"/>
        </w:rPr>
      </w:pPr>
      <w:r>
        <w:rPr>
          <w:rFonts w:hint="eastAsia" w:ascii="仿宋" w:hAnsi="仿宋" w:eastAsia="仿宋" w:cs="仿宋"/>
          <w:color w:val="000000" w:themeColor="text1"/>
          <w:sz w:val="30"/>
          <w:highlight w:val="none"/>
          <w14:textFill>
            <w14:solidFill>
              <w14:schemeClr w14:val="tx1"/>
            </w14:solidFill>
          </w14:textFill>
        </w:rPr>
        <w:t xml:space="preserve">采购代理机构：徐州保平建设项目管理咨询有限公司</w:t>
      </w:r>
      <w:r/>
    </w:p>
    <w:p>
      <w:pPr>
        <w:pStyle w:val="1274"/>
        <w:ind w:left="0" w:right="0" w:firstLine="560"/>
        <w:jc w:val="center"/>
        <w:widowControl w:val="off"/>
        <w:rPr>
          <w:rFonts w:ascii="仿宋" w:hAnsi="仿宋" w:eastAsia="仿宋" w:cs="仿宋"/>
          <w:highlight w:val="none"/>
        </w:rPr>
      </w:pPr>
      <w:r>
        <w:rPr>
          <w:rFonts w:ascii="仿宋" w:hAnsi="仿宋" w:eastAsia="仿宋" w:cs="仿宋"/>
          <w:highlight w:val="none"/>
        </w:rPr>
      </w:r>
      <w:r/>
    </w:p>
    <w:p>
      <w:pPr>
        <w:pStyle w:val="1270"/>
        <w:jc w:val="center"/>
        <w:widowControl w:val="off"/>
        <w:rPr>
          <w:rStyle w:val="1312"/>
          <w:rFonts w:ascii="仿宋" w:hAnsi="仿宋" w:eastAsia="仿宋" w:cs="仿宋"/>
          <w:sz w:val="32"/>
          <w:highlight w:val="none"/>
        </w:rPr>
      </w:pPr>
      <w:r>
        <w:rPr>
          <w:rStyle w:val="1312"/>
          <w:rFonts w:hint="eastAsia" w:ascii="仿宋" w:hAnsi="仿宋" w:eastAsia="仿宋" w:cs="仿宋"/>
          <w:sz w:val="32"/>
          <w:highlight w:val="none"/>
        </w:rPr>
        <w:t xml:space="preserve">二〇二六年</w:t>
      </w:r>
      <w:r>
        <w:rPr>
          <w:rStyle w:val="1312"/>
          <w:rFonts w:hint="eastAsia" w:ascii="仿宋" w:hAnsi="仿宋" w:eastAsia="仿宋" w:cs="仿宋"/>
          <w:sz w:val="32"/>
          <w:highlight w:val="none"/>
          <w:lang w:val="en-US"/>
        </w:rPr>
        <w:t xml:space="preserve">八</w:t>
      </w:r>
      <w:r>
        <w:rPr>
          <w:rStyle w:val="1312"/>
          <w:rFonts w:hint="eastAsia" w:ascii="仿宋" w:hAnsi="仿宋" w:eastAsia="仿宋" w:cs="仿宋"/>
          <w:sz w:val="32"/>
          <w:highlight w:val="none"/>
        </w:rPr>
        <w:t xml:space="preserve">月</w:t>
      </w:r>
      <w:r/>
    </w:p>
    <w:p>
      <w:pPr>
        <w:widowControl w:val="off"/>
        <w:rPr>
          <w:rFonts w:ascii="仿宋" w:hAnsi="仿宋" w:eastAsia="仿宋" w:cs="仿宋"/>
          <w:b/>
          <w:highlight w:val="none"/>
        </w:rPr>
      </w:pPr>
      <w:r>
        <w:rPr>
          <w:rFonts w:hint="eastAsia" w:ascii="仿宋" w:hAnsi="仿宋" w:eastAsia="仿宋" w:cs="仿宋"/>
          <w:b/>
          <w:bCs/>
          <w:highlight w:val="none"/>
        </w:rPr>
        <w:br w:type="page" w:clear="all"/>
      </w:r>
      <w:r/>
    </w:p>
    <w:p>
      <w:pPr>
        <w:pStyle w:val="1406"/>
        <w:ind w:firstLine="4498"/>
        <w:jc w:val="both"/>
        <w:keepLines w:val="0"/>
        <w:keepNext w:val="0"/>
        <w:widowControl w:val="off"/>
        <w:rPr>
          <w:rFonts w:ascii="仿宋" w:hAnsi="仿宋" w:eastAsia="仿宋" w:cs="仿宋"/>
          <w:b/>
          <w:bCs/>
          <w:color w:val="auto"/>
          <w:highlight w:val="none"/>
          <w:lang w:val="zh-CN"/>
        </w:rPr>
      </w:pPr>
      <w:r>
        <w:rPr>
          <w:rFonts w:hint="eastAsia" w:ascii="仿宋" w:hAnsi="仿宋" w:eastAsia="仿宋" w:cs="仿宋"/>
          <w:b/>
          <w:bCs/>
          <w:color w:val="auto"/>
          <w:highlight w:val="none"/>
          <w:lang w:val="zh-CN"/>
        </w:rPr>
        <w:t xml:space="preserve">目</w:t>
      </w:r>
      <w:r>
        <w:rPr>
          <w:rFonts w:hint="eastAsia" w:ascii="仿宋" w:hAnsi="仿宋" w:eastAsia="仿宋" w:cs="仿宋"/>
          <w:b/>
          <w:bCs/>
          <w:color w:val="auto"/>
          <w:highlight w:val="none"/>
        </w:rPr>
        <w:t xml:space="preserve"> </w:t>
      </w:r>
      <w:r>
        <w:rPr>
          <w:rFonts w:hint="eastAsia" w:ascii="仿宋" w:hAnsi="仿宋" w:eastAsia="仿宋" w:cs="仿宋"/>
          <w:b/>
          <w:bCs/>
          <w:color w:val="auto"/>
          <w:highlight w:val="none"/>
          <w:lang w:val="zh-CN"/>
        </w:rPr>
        <w:t xml:space="preserve">录</w:t>
      </w:r>
      <w:r/>
    </w:p>
    <w:p>
      <w:pPr>
        <w:pStyle w:val="1298"/>
        <w:spacing w:line="360" w:lineRule="auto"/>
        <w:widowControl w:val="off"/>
        <w:tabs>
          <w:tab w:val="right" w:pos="9736" w:leader="dot"/>
        </w:tabs>
        <w:rPr>
          <w:rStyle w:val="1310"/>
          <w:rFonts w:ascii="仿宋" w:hAnsi="仿宋" w:eastAsia="仿宋" w:cs="仿宋"/>
          <w:color w:val="auto"/>
          <w:sz w:val="24"/>
          <w:szCs w:val="24"/>
          <w:highlight w:val="none"/>
          <w:u w:val="none"/>
        </w:rPr>
      </w:pPr>
      <w:r>
        <w:rPr>
          <w:rFonts w:ascii="仿宋" w:hAnsi="仿宋" w:eastAsia="仿宋" w:cs="仿宋"/>
          <w:color w:val="auto"/>
          <w:sz w:val="24"/>
          <w:szCs w:val="24"/>
          <w:highlight w:val="none"/>
          <w:u w:val="none"/>
        </w:rPr>
      </w:r>
      <w:r/>
    </w:p>
    <w:p>
      <w:pPr>
        <w:pStyle w:val="1076"/>
        <w:spacing w:line="312" w:lineRule="auto"/>
        <w:tabs>
          <w:tab w:val="right" w:pos="9692" w:leader="dot"/>
        </w:tabs>
        <w:rPr>
          <w:rFonts w:ascii="仿宋" w:hAnsi="仿宋" w:eastAsia="仿宋" w:cs="仿宋"/>
          <w:sz w:val="24"/>
          <w:szCs w:val="24"/>
          <w:highlight w:val="none"/>
        </w:rPr>
      </w:pP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TOC \o "1-3" \h \z \u </w:instrText>
      </w:r>
      <w:r>
        <w:rPr>
          <w:rFonts w:hint="eastAsia" w:ascii="仿宋" w:hAnsi="仿宋" w:eastAsia="仿宋" w:cs="仿宋"/>
          <w:sz w:val="24"/>
          <w:szCs w:val="24"/>
          <w:highlight w:val="none"/>
        </w:rPr>
        <w:fldChar w:fldCharType="separate"/>
      </w:r>
      <w:r>
        <w:rPr>
          <w:highlight w:val="none"/>
        </w:rPr>
        <w:fldChar w:fldCharType="begin"/>
      </w:r>
      <w:r>
        <w:rPr>
          <w:highlight w:val="none"/>
        </w:rPr>
        <w:instrText xml:space="preserve"> HYPERLINK \l "_Toc5081" </w:instrText>
      </w:r>
      <w:r>
        <w:rPr>
          <w:highlight w:val="none"/>
        </w:rPr>
        <w:fldChar w:fldCharType="separate"/>
      </w:r>
      <w:r>
        <w:rPr>
          <w:rFonts w:hint="eastAsia" w:ascii="仿宋" w:hAnsi="仿宋" w:eastAsia="仿宋" w:cs="仿宋"/>
          <w:sz w:val="24"/>
          <w:szCs w:val="24"/>
          <w:highlight w:val="none"/>
        </w:rPr>
        <w:t xml:space="preserve">竞争性磋商文件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_Toc5081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"_Toc12213" </w:instrText>
      </w:r>
      <w:r>
        <w:rPr>
          <w:highlight w:val="none"/>
        </w:rPr>
        <w:fldChar w:fldCharType="separate"/>
      </w:r>
      <w:r>
        <w:rPr>
          <w:rFonts w:hint="eastAsia" w:ascii="仿宋" w:hAnsi="仿宋" w:eastAsia="仿宋" w:cs="仿宋"/>
          <w:sz w:val="24"/>
          <w:szCs w:val="24"/>
          <w:highlight w:val="none"/>
        </w:rPr>
        <w:t xml:space="preserve">第一章 项目说明</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_Toc12213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3</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"_Toc9865" </w:instrText>
      </w:r>
      <w:r>
        <w:rPr>
          <w:highlight w:val="none"/>
        </w:rPr>
        <w:fldChar w:fldCharType="separate"/>
      </w:r>
      <w:r>
        <w:rPr>
          <w:rFonts w:hint="eastAsia" w:ascii="仿宋" w:hAnsi="仿宋" w:eastAsia="仿宋" w:cs="仿宋"/>
          <w:sz w:val="24"/>
          <w:szCs w:val="24"/>
          <w:highlight w:val="none"/>
        </w:rPr>
        <w:t xml:space="preserve">第二章 响应文件要求</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_Toc9865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4</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"_Toc27519" </w:instrText>
      </w:r>
      <w:r>
        <w:rPr>
          <w:highlight w:val="none"/>
        </w:rPr>
        <w:fldChar w:fldCharType="separate"/>
      </w:r>
      <w:r>
        <w:rPr>
          <w:rFonts w:hint="eastAsia" w:ascii="仿宋" w:hAnsi="仿宋" w:eastAsia="仿宋" w:cs="仿宋"/>
          <w:sz w:val="24"/>
          <w:szCs w:val="24"/>
          <w:highlight w:val="none"/>
        </w:rPr>
        <w:t xml:space="preserve">第三章 磋商相关说明</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_Toc27519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8</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"_Toc17980" </w:instrText>
      </w:r>
      <w:r>
        <w:rPr>
          <w:highlight w:val="none"/>
        </w:rPr>
        <w:fldChar w:fldCharType="separate"/>
      </w:r>
      <w:r>
        <w:rPr>
          <w:rFonts w:hint="eastAsia" w:ascii="仿宋" w:hAnsi="仿宋" w:eastAsia="仿宋" w:cs="仿宋"/>
          <w:bCs/>
          <w:sz w:val="24"/>
          <w:szCs w:val="24"/>
          <w:highlight w:val="none"/>
        </w:rPr>
        <w:t xml:space="preserve">第四章 确定成交供应商及合同签订等</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_Toc17980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"_Toc1882" </w:instrText>
      </w:r>
      <w:r>
        <w:rPr>
          <w:highlight w:val="none"/>
        </w:rPr>
        <w:fldChar w:fldCharType="separate"/>
      </w:r>
      <w:r>
        <w:rPr>
          <w:rFonts w:hint="eastAsia" w:ascii="仿宋" w:hAnsi="仿宋" w:eastAsia="仿宋" w:cs="仿宋"/>
          <w:bCs/>
          <w:sz w:val="24"/>
          <w:szCs w:val="24"/>
          <w:highlight w:val="none"/>
        </w:rPr>
        <w:t xml:space="preserve">第五章 磋商文件的澄清或者修改</w:t>
      </w:r>
      <w:r>
        <w:rPr>
          <w:rFonts w:hint="eastAsia" w:ascii="仿宋" w:hAnsi="仿宋" w:eastAsia="仿宋" w:cs="仿宋"/>
          <w:sz w:val="24"/>
          <w:szCs w:val="24"/>
          <w:highlight w:val="none"/>
        </w:rPr>
        <w:tab/>
      </w:r>
      <w:r>
        <w:rPr>
          <w:rFonts w:hint="eastAsia" w:ascii="仿宋" w:hAnsi="仿宋" w:eastAsia="仿宋" w:cs="仿宋"/>
          <w:sz w:val="24"/>
          <w:szCs w:val="24"/>
          <w:highlight w:val="none"/>
        </w:rPr>
        <w:fldChar w:fldCharType="begin"/>
      </w:r>
      <w:r>
        <w:rPr>
          <w:rFonts w:hint="eastAsia" w:ascii="仿宋" w:hAnsi="仿宋" w:eastAsia="仿宋" w:cs="仿宋"/>
          <w:sz w:val="24"/>
          <w:szCs w:val="24"/>
          <w:highlight w:val="none"/>
        </w:rPr>
        <w:instrText xml:space="preserve"> PAGEREF _Toc1882 \h </w:instrText>
      </w:r>
      <w:r>
        <w:rPr>
          <w:rFonts w:hint="eastAsia" w:ascii="仿宋" w:hAnsi="仿宋" w:eastAsia="仿宋" w:cs="仿宋"/>
          <w:sz w:val="24"/>
          <w:szCs w:val="24"/>
          <w:highlight w:val="none"/>
        </w:rPr>
        <w:fldChar w:fldCharType="separate"/>
      </w:r>
      <w:r>
        <w:rPr>
          <w:rFonts w:hint="eastAsia" w:ascii="仿宋" w:hAnsi="仿宋" w:eastAsia="仿宋" w:cs="仿宋"/>
          <w:sz w:val="24"/>
          <w:szCs w:val="24"/>
          <w:highlight w:val="none"/>
        </w:rPr>
        <w:t xml:space="preserve">11</w:t>
      </w:r>
      <w:r>
        <w:rPr>
          <w:rFonts w:hint="eastAsia" w:ascii="仿宋" w:hAnsi="仿宋" w:eastAsia="仿宋" w:cs="仿宋"/>
          <w:sz w:val="24"/>
          <w:szCs w:val="24"/>
          <w:highlight w:val="none"/>
        </w:rPr>
        <w:fldChar w:fldCharType="end"/>
      </w:r>
      <w:r>
        <w:rPr>
          <w:rFonts w:hint="eastAsia" w:ascii="仿宋" w:hAnsi="仿宋" w:eastAsia="仿宋" w:cs="仿宋"/>
          <w:sz w:val="24"/>
          <w:szCs w:val="24"/>
          <w:highlight w:val="none"/>
        </w:rPr>
        <w:fldChar w:fldCharType="end"/>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"_Toc9582" </w:instrText>
      </w:r>
      <w:r>
        <w:rPr>
          <w:highlight w:val="none"/>
        </w:rPr>
        <w:fldChar w:fldCharType="separate"/>
      </w:r>
      <w:r>
        <w:rPr>
          <w:rFonts w:hint="eastAsia" w:ascii="仿宋" w:hAnsi="仿宋" w:eastAsia="仿宋" w:cs="仿宋"/>
          <w:bCs/>
          <w:sz w:val="24"/>
          <w:szCs w:val="24"/>
          <w:highlight w:val="none"/>
        </w:rPr>
        <w:t xml:space="preserve">第六章 询问和质疑</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bCs/>
          <w:sz w:val="24"/>
          <w:szCs w:val="24"/>
          <w:highlight w:val="none"/>
        </w:rPr>
        <w:t xml:space="preserve">1</w:t>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"_Toc26268" </w:instrText>
      </w:r>
      <w:r>
        <w:rPr>
          <w:highlight w:val="none"/>
        </w:rPr>
        <w:fldChar w:fldCharType="separate"/>
      </w:r>
      <w:r>
        <w:rPr>
          <w:rFonts w:hint="eastAsia" w:ascii="仿宋" w:hAnsi="仿宋" w:eastAsia="仿宋" w:cs="仿宋"/>
          <w:sz w:val="24"/>
          <w:szCs w:val="24"/>
          <w:highlight w:val="none"/>
        </w:rPr>
        <w:t xml:space="preserve">第七章 其他</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bCs/>
          <w:sz w:val="24"/>
          <w:szCs w:val="24"/>
          <w:highlight w:val="none"/>
        </w:rPr>
        <w:t xml:space="preserve">2</w:t>
      </w:r>
      <w:r/>
    </w:p>
    <w:p>
      <w:pPr>
        <w:pStyle w:val="1076"/>
        <w:spacing w:line="312" w:lineRule="auto"/>
        <w:tabs>
          <w:tab w:val="right" w:pos="9692" w:leader="dot"/>
        </w:tabs>
        <w:rPr>
          <w:rFonts w:ascii="仿宋" w:hAnsi="仿宋" w:eastAsia="仿宋" w:cs="仿宋"/>
          <w:sz w:val="24"/>
          <w:szCs w:val="24"/>
          <w:highlight w:val="none"/>
        </w:rPr>
      </w:pPr>
      <w:r>
        <w:rPr>
          <w:highlight w:val="none"/>
        </w:rPr>
        <w:fldChar w:fldCharType="begin"/>
      </w:r>
      <w:r>
        <w:rPr>
          <w:highlight w:val="none"/>
        </w:rPr>
        <w:instrText xml:space="preserve"> HYPERLINK \l "_Toc20928" </w:instrText>
      </w:r>
      <w:r>
        <w:rPr>
          <w:highlight w:val="none"/>
        </w:rPr>
        <w:fldChar w:fldCharType="separate"/>
      </w:r>
      <w:r>
        <w:rPr>
          <w:rFonts w:hint="eastAsia" w:ascii="仿宋" w:hAnsi="仿宋" w:eastAsia="仿宋" w:cs="仿宋"/>
          <w:sz w:val="24"/>
          <w:szCs w:val="24"/>
          <w:highlight w:val="none"/>
        </w:rPr>
        <w:t xml:space="preserve">第八章 附件</w:t>
      </w:r>
      <w:r>
        <w:rPr>
          <w:rFonts w:hint="eastAsia" w:ascii="仿宋" w:hAnsi="仿宋" w:eastAsia="仿宋" w:cs="仿宋"/>
          <w:sz w:val="24"/>
          <w:szCs w:val="24"/>
          <w:highlight w:val="none"/>
        </w:rPr>
        <w:tab/>
      </w:r>
      <w:r>
        <w:rPr>
          <w:rFonts w:hint="eastAsia" w:ascii="仿宋" w:hAnsi="仿宋" w:eastAsia="仿宋" w:cs="仿宋"/>
          <w:sz w:val="24"/>
          <w:szCs w:val="24"/>
          <w:highlight w:val="none"/>
        </w:rPr>
        <w:t xml:space="preserve">1</w:t>
      </w:r>
      <w:r>
        <w:rPr>
          <w:rFonts w:hint="eastAsia" w:ascii="仿宋" w:hAnsi="仿宋" w:eastAsia="仿宋" w:cs="仿宋"/>
          <w:sz w:val="24"/>
          <w:szCs w:val="24"/>
          <w:highlight w:val="none"/>
        </w:rPr>
        <w:fldChar w:fldCharType="end"/>
      </w:r>
      <w:r>
        <w:rPr>
          <w:rFonts w:hint="eastAsia" w:ascii="仿宋" w:hAnsi="仿宋" w:eastAsia="仿宋" w:cs="仿宋"/>
          <w:bCs/>
          <w:sz w:val="24"/>
          <w:szCs w:val="24"/>
          <w:highlight w:val="none"/>
        </w:rPr>
        <w:t xml:space="preserve">3</w:t>
      </w:r>
      <w:r/>
    </w:p>
    <w:p>
      <w:pPr>
        <w:pStyle w:val="1076"/>
        <w:spacing w:line="312" w:lineRule="auto"/>
        <w:tabs>
          <w:tab w:val="right" w:pos="9692" w:leader="dot"/>
        </w:tabs>
        <w:rPr>
          <w:rFonts w:ascii="仿宋" w:hAnsi="仿宋" w:eastAsia="仿宋" w:cs="仿宋"/>
          <w:highlight w:val="none"/>
        </w:rPr>
      </w:pPr>
      <w:r>
        <w:rPr>
          <w:rFonts w:ascii="仿宋" w:hAnsi="仿宋" w:eastAsia="仿宋" w:cs="仿宋"/>
          <w:highlight w:val="none"/>
        </w:rPr>
      </w:r>
      <w:r/>
    </w:p>
    <w:p>
      <w:pPr>
        <w:pStyle w:val="1270"/>
        <w:spacing w:line="360" w:lineRule="auto"/>
        <w:widowControl w:val="off"/>
        <w:rPr>
          <w:rStyle w:val="1312"/>
          <w:rFonts w:ascii="仿宋" w:hAnsi="仿宋" w:eastAsia="仿宋" w:cs="仿宋"/>
          <w:b/>
          <w:sz w:val="36"/>
          <w:highlight w:val="none"/>
        </w:rPr>
        <w:sectPr>
          <w:headerReference w:type="default" r:id="rId9"/>
          <w:headerReference w:type="first" r:id="rId10"/>
          <w:footerReference w:type="default" r:id="rId16"/>
          <w:footnotePr/>
          <w:endnotePr/>
          <w:type w:val="nextPage"/>
          <w:pgSz w:w="11906" w:h="16838" w:orient="portrait"/>
          <w:pgMar w:top="1440" w:right="1134" w:bottom="1440" w:left="1080" w:header="851" w:footer="992" w:gutter="0"/>
          <w:pgNumType w:start="1"/>
          <w:cols w:num="1" w:sep="0" w:space="1701" w:equalWidth="1"/>
          <w:docGrid w:linePitch="360"/>
        </w:sectPr>
      </w:pPr>
      <w:r>
        <w:rPr>
          <w:rFonts w:hint="eastAsia" w:ascii="仿宋" w:hAnsi="仿宋" w:eastAsia="仿宋" w:cs="仿宋"/>
          <w:bCs/>
          <w:szCs w:val="24"/>
          <w:highlight w:val="none"/>
          <w:lang w:val="zh-CN"/>
        </w:rPr>
        <w:fldChar w:fldCharType="end"/>
      </w:r>
      <w:r/>
    </w:p>
    <w:p>
      <w:pPr>
        <w:pStyle w:val="1270"/>
        <w:jc w:val="center"/>
        <w:widowControl w:val="off"/>
        <w:rPr>
          <w:rStyle w:val="1312"/>
          <w:rFonts w:ascii="仿宋" w:hAnsi="仿宋" w:eastAsia="仿宋" w:cs="仿宋"/>
          <w:b/>
          <w:sz w:val="36"/>
          <w:highlight w:val="none"/>
        </w:rPr>
        <w:outlineLvl w:val="0"/>
      </w:pPr>
      <w:r/>
      <w:bookmarkStart w:id="0" w:name="_Toc5081"/>
      <w:r>
        <w:rPr>
          <w:rStyle w:val="1312"/>
          <w:rFonts w:hint="eastAsia" w:ascii="仿宋" w:hAnsi="仿宋" w:eastAsia="仿宋" w:cs="仿宋"/>
          <w:b/>
          <w:sz w:val="36"/>
          <w:highlight w:val="none"/>
        </w:rPr>
        <w:t xml:space="preserve">竞争性磋商文件</w:t>
      </w:r>
      <w:bookmarkEnd w:id="0"/>
      <w:r/>
      <w:r/>
    </w:p>
    <w:p>
      <w:pPr>
        <w:pStyle w:val="1270"/>
        <w:jc w:val="center"/>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项目编号：   </w:t>
      </w:r>
      <w:r/>
    </w:p>
    <w:p>
      <w:pPr>
        <w:pStyle w:val="1270"/>
        <w:jc w:val="left"/>
        <w:spacing w:line="312" w:lineRule="auto"/>
        <w:widowControl w:val="off"/>
        <w:tabs>
          <w:tab w:val="left" w:pos="3240" w:leader="none"/>
        </w:tabs>
        <w:rPr>
          <w:rFonts w:ascii="仿宋" w:hAnsi="仿宋" w:eastAsia="仿宋" w:cs="仿宋"/>
          <w:sz w:val="24"/>
          <w:szCs w:val="24"/>
          <w:highlight w:val="none"/>
        </w:rPr>
      </w:pP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（供应商）：</w:t>
      </w:r>
      <w:r/>
    </w:p>
    <w:p>
      <w:pPr>
        <w:pStyle w:val="1270"/>
        <w:ind w:firstLine="499"/>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按照《中华人民共和国政府采购法》、《中华人民共和国政府采购法实施条例》及《政府采购竞争性磋商采购方式管理暂行办法》的规定，</w:t>
      </w:r>
      <w:r>
        <w:rPr>
          <w:rFonts w:hint="eastAsia" w:ascii="仿宋" w:hAnsi="仿宋" w:eastAsia="仿宋" w:cs="仿宋"/>
          <w:sz w:val="24"/>
          <w:szCs w:val="24"/>
          <w:highlight w:val="none"/>
          <w:u w:val="single"/>
        </w:rPr>
        <w:t xml:space="preserve">徐州保平建设项目管理咨询有限公司</w:t>
      </w:r>
      <w:r>
        <w:rPr>
          <w:rStyle w:val="1312"/>
          <w:rFonts w:hint="eastAsia" w:ascii="仿宋" w:hAnsi="仿宋" w:eastAsia="仿宋" w:cs="仿宋"/>
          <w:sz w:val="24"/>
          <w:szCs w:val="24"/>
          <w:highlight w:val="none"/>
        </w:rPr>
        <w:t xml:space="preserve">对</w:t>
      </w:r>
      <w:r>
        <w:rPr>
          <w:rFonts w:hint="eastAsia" w:ascii="仿宋" w:hAnsi="仿宋" w:eastAsia="仿宋" w:cs="仿宋"/>
          <w:sz w:val="24"/>
          <w:szCs w:val="24"/>
          <w:highlight w:val="none"/>
          <w:u w:val="single"/>
          <w:lang w:eastAsia="zh-CN"/>
        </w:rPr>
        <w:t xml:space="preserve">巡特警支队训练场地整治项目</w:t>
      </w:r>
      <w:r>
        <w:rPr>
          <w:rStyle w:val="1312"/>
          <w:rFonts w:hint="eastAsia" w:ascii="仿宋" w:hAnsi="仿宋" w:eastAsia="仿宋" w:cs="仿宋"/>
          <w:sz w:val="24"/>
          <w:szCs w:val="24"/>
          <w:highlight w:val="none"/>
        </w:rPr>
        <w:t xml:space="preserve">采取竞争性磋商采购方式进行采购。如贵单位有意与本公司合作，请按以下竞争性磋商文件（以下简称磋商文件）要求参加磋商。</w:t>
      </w:r>
      <w:r/>
    </w:p>
    <w:p>
      <w:pPr>
        <w:pStyle w:val="1278"/>
        <w:jc w:val="center"/>
        <w:keepLines w:val="0"/>
        <w:keepNext w:val="0"/>
        <w:spacing w:before="0" w:after="0" w:line="312" w:lineRule="auto"/>
        <w:widowControl w:val="off"/>
        <w:rPr>
          <w:rStyle w:val="1312"/>
          <w:rFonts w:ascii="仿宋" w:hAnsi="仿宋" w:eastAsia="仿宋" w:cs="仿宋"/>
          <w:sz w:val="24"/>
          <w:szCs w:val="24"/>
          <w:highlight w:val="none"/>
        </w:rPr>
      </w:pPr>
      <w:r/>
      <w:bookmarkStart w:id="1" w:name="_Toc12213"/>
      <w:r>
        <w:rPr>
          <w:rStyle w:val="1312"/>
          <w:rFonts w:hint="eastAsia" w:ascii="仿宋" w:hAnsi="仿宋" w:eastAsia="仿宋" w:cs="仿宋"/>
          <w:sz w:val="24"/>
          <w:szCs w:val="24"/>
          <w:highlight w:val="none"/>
        </w:rPr>
        <w:t xml:space="preserve">第一章 项目说明</w:t>
      </w:r>
      <w:bookmarkEnd w:id="1"/>
      <w:r/>
      <w:r/>
    </w:p>
    <w:p>
      <w:pPr>
        <w:pStyle w:val="127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一、项目概况</w:t>
      </w:r>
      <w:r/>
    </w:p>
    <w:p>
      <w:pPr>
        <w:pStyle w:val="1270"/>
        <w:ind w:firstLine="480"/>
        <w:jc w:val="left"/>
        <w:spacing w:line="312" w:lineRule="auto"/>
        <w:widowControl w:val="off"/>
        <w:rPr>
          <w:rFonts w:ascii="仿宋" w:hAnsi="仿宋" w:eastAsia="仿宋" w:cs="仿宋"/>
          <w:b/>
          <w:sz w:val="24"/>
          <w:szCs w:val="24"/>
          <w:highlight w:val="none"/>
        </w:rPr>
      </w:pPr>
      <w:r>
        <w:rPr>
          <w:rFonts w:hint="eastAsia" w:ascii="仿宋" w:hAnsi="仿宋" w:eastAsia="仿宋" w:cs="仿宋"/>
          <w:sz w:val="24"/>
          <w:szCs w:val="24"/>
          <w:highlight w:val="none"/>
        </w:rPr>
        <w:t xml:space="preserve">1、采 购 人：徐州市公安局</w:t>
      </w:r>
      <w:r/>
    </w:p>
    <w:p>
      <w:pPr>
        <w:pStyle w:val="1270"/>
        <w:ind w:firstLine="480"/>
        <w:jc w:val="left"/>
        <w:spacing w:line="312" w:lineRule="auto"/>
        <w:widowControl w:val="off"/>
        <w:rPr>
          <w:rStyle w:val="1312"/>
          <w:rFonts w:ascii="仿宋" w:hAnsi="仿宋" w:eastAsia="仿宋" w:cs="仿宋"/>
          <w:color w:val="auto"/>
          <w:sz w:val="24"/>
          <w:szCs w:val="24"/>
          <w:highlight w:val="none"/>
        </w:rPr>
      </w:pPr>
      <w:r>
        <w:rPr>
          <w:rFonts w:hint="eastAsia" w:ascii="仿宋" w:hAnsi="仿宋" w:eastAsia="仿宋" w:cs="仿宋"/>
          <w:bCs/>
          <w:color w:val="auto"/>
          <w:sz w:val="24"/>
          <w:szCs w:val="24"/>
          <w:highlight w:val="none"/>
        </w:rPr>
        <w:t xml:space="preserve">2、项目名称</w:t>
      </w:r>
      <w:r>
        <w:rPr>
          <w:rFonts w:hint="eastAsia" w:ascii="仿宋" w:hAnsi="仿宋" w:eastAsia="仿宋" w:cs="仿宋"/>
          <w:color w:val="auto"/>
          <w:sz w:val="24"/>
          <w:szCs w:val="24"/>
          <w:highlight w:val="none"/>
        </w:rPr>
        <w:t xml:space="preserve">：</w:t>
      </w:r>
      <w:r>
        <w:rPr>
          <w:rStyle w:val="1312"/>
          <w:rFonts w:hint="eastAsia" w:ascii="仿宋" w:hAnsi="仿宋" w:eastAsia="仿宋" w:cs="仿宋"/>
          <w:color w:val="auto"/>
          <w:sz w:val="24"/>
          <w:szCs w:val="24"/>
          <w:highlight w:val="none"/>
        </w:rPr>
        <w:t xml:space="preserve">巡特警支队训练场地整治项目</w:t>
      </w:r>
      <w:r/>
    </w:p>
    <w:p>
      <w:pPr>
        <w:pStyle w:val="1270"/>
        <w:ind w:firstLine="480"/>
        <w:jc w:val="left"/>
        <w:spacing w:line="312"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3、项目编号：JSZC-320300-XZBP-C2026-0012 </w:t>
      </w:r>
      <w:r>
        <w:rPr>
          <w:rStyle w:val="1312"/>
          <w:rFonts w:hint="eastAsia" w:ascii="仿宋" w:hAnsi="仿宋" w:eastAsia="仿宋" w:cs="仿宋"/>
          <w:color w:val="auto"/>
          <w:sz w:val="24"/>
          <w:szCs w:val="24"/>
          <w:highlight w:val="none"/>
        </w:rPr>
        <w:t xml:space="preserve"> </w:t>
      </w:r>
      <w:r/>
    </w:p>
    <w:p>
      <w:pPr>
        <w:pStyle w:val="1270"/>
        <w:ind w:firstLine="480"/>
        <w:spacing w:line="312"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4、采购预算（采购项目预算金额）：详见《项目要求（采购需求）》。</w:t>
      </w:r>
      <w:r/>
    </w:p>
    <w:p>
      <w:pPr>
        <w:pStyle w:val="1270"/>
        <w:jc w:val="left"/>
        <w:spacing w:line="312" w:lineRule="auto"/>
        <w:widowControl w:val="off"/>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二、采购需求：详见《项目要求（采购需求）》。</w:t>
      </w:r>
      <w:r/>
    </w:p>
    <w:p>
      <w:pPr>
        <w:pStyle w:val="127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三、采购方式：</w:t>
      </w:r>
      <w:r/>
    </w:p>
    <w:p>
      <w:pPr>
        <w:pStyle w:val="1270"/>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1、采购人确定的采购项目属性：工程。</w:t>
      </w:r>
      <w:r/>
    </w:p>
    <w:p>
      <w:pPr>
        <w:pStyle w:val="1270"/>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2、本项目采用竞争性磋商采购方式。</w:t>
      </w:r>
      <w:r/>
    </w:p>
    <w:p>
      <w:pPr>
        <w:pStyle w:val="127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四、采购邀请：通过发布公告的方式邀请符合相应资格条件的供应商参与竞争性磋商采购活动。</w:t>
      </w:r>
      <w:r/>
    </w:p>
    <w:p>
      <w:pPr>
        <w:pStyle w:val="127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五、合同草案条款：见《磋商文件》附件《合同草案条款》。</w:t>
      </w:r>
      <w:r/>
    </w:p>
    <w:p>
      <w:pPr>
        <w:pStyle w:val="1270"/>
        <w:jc w:val="left"/>
        <w:spacing w:line="312" w:lineRule="auto"/>
        <w:widowControl w:val="off"/>
        <w:rPr>
          <w:rFonts w:ascii="仿宋" w:hAnsi="仿宋" w:eastAsia="仿宋" w:cs="仿宋"/>
          <w:sz w:val="24"/>
          <w:szCs w:val="24"/>
          <w:highlight w:val="none"/>
        </w:rPr>
      </w:pPr>
      <w:r>
        <w:rPr>
          <w:rFonts w:hint="eastAsia" w:ascii="仿宋" w:hAnsi="仿宋" w:eastAsia="仿宋" w:cs="仿宋"/>
          <w:bCs/>
          <w:sz w:val="24"/>
          <w:szCs w:val="24"/>
          <w:highlight w:val="none"/>
        </w:rPr>
        <w:t xml:space="preserve">六、供应商</w:t>
      </w:r>
      <w:r>
        <w:rPr>
          <w:rFonts w:hint="eastAsia" w:ascii="仿宋" w:hAnsi="仿宋" w:eastAsia="仿宋" w:cs="仿宋"/>
          <w:sz w:val="24"/>
          <w:szCs w:val="24"/>
          <w:highlight w:val="none"/>
        </w:rPr>
        <w:t xml:space="preserve">资格条件</w:t>
      </w:r>
      <w:r/>
    </w:p>
    <w:p>
      <w:pPr>
        <w:pStyle w:val="1270"/>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lang w:bidi="en-US"/>
        </w:rPr>
        <w:t xml:space="preserve">1、满足《中华人民共和国政府采购法》第二十二条规定；</w:t>
      </w:r>
      <w:r/>
    </w:p>
    <w:p>
      <w:pPr>
        <w:pStyle w:val="1270"/>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lang w:bidi="en-US"/>
        </w:rPr>
        <w:t xml:space="preserve">2、落实政府采购政策需满足的资格要求：</w:t>
      </w:r>
      <w:bookmarkStart w:id="2" w:name="OLE_LINK9"/>
      <w:r>
        <w:rPr>
          <w:rFonts w:hint="eastAsia" w:ascii="仿宋" w:hAnsi="仿宋" w:eastAsia="仿宋" w:cs="仿宋"/>
          <w:sz w:val="24"/>
          <w:szCs w:val="24"/>
          <w:highlight w:val="none"/>
          <w:lang w:bidi="en-US"/>
        </w:rPr>
        <w:t xml:space="preserve">此项目属于专门面向中小微企业采购的项目，供应商应为中小微企业、监狱企业、残疾人福利性单位</w:t>
      </w:r>
      <w:bookmarkEnd w:id="2"/>
      <w:r>
        <w:rPr>
          <w:rFonts w:hint="eastAsia" w:ascii="仿宋" w:hAnsi="仿宋" w:eastAsia="仿宋" w:cs="仿宋"/>
          <w:sz w:val="24"/>
          <w:szCs w:val="24"/>
          <w:highlight w:val="none"/>
          <w:lang w:bidi="en-US"/>
        </w:rPr>
        <w:t xml:space="preserve">。</w:t>
      </w:r>
      <w:r/>
    </w:p>
    <w:p>
      <w:pPr>
        <w:pStyle w:val="1270"/>
        <w:ind w:firstLine="480"/>
        <w:spacing w:line="312" w:lineRule="auto"/>
        <w:widowControl w:val="off"/>
        <w:rPr>
          <w:rFonts w:ascii="仿宋" w:hAnsi="仿宋" w:eastAsia="仿宋" w:cs="仿宋"/>
          <w:sz w:val="24"/>
          <w:szCs w:val="24"/>
          <w:highlight w:val="none"/>
          <w:lang w:bidi="en-US"/>
        </w:rPr>
      </w:pPr>
      <w:r>
        <w:rPr>
          <w:rFonts w:hint="eastAsia" w:ascii="仿宋" w:hAnsi="仿宋" w:eastAsia="仿宋" w:cs="仿宋"/>
          <w:sz w:val="24"/>
          <w:szCs w:val="24"/>
          <w:highlight w:val="none"/>
          <w:lang w:bidi="en-US"/>
        </w:rPr>
        <w:t xml:space="preserve">3、本项目的特定资格要求：</w:t>
      </w:r>
      <w:r/>
    </w:p>
    <w:p>
      <w:pPr>
        <w:ind w:firstLine="480"/>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①供应商具有有效的建筑工程施工总承包叁级（含）以上资质或市政公用工程施工总承包叁级（含）以上资质；</w:t>
      </w:r>
      <w:r/>
    </w:p>
    <w:p>
      <w:pPr>
        <w:ind w:firstLine="480"/>
        <w:jc w:val="left"/>
        <w:spacing w:line="312"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②供应商具有有效的《安全生产许可证》证书；</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b/>
          <w:bCs/>
          <w:sz w:val="24"/>
          <w:szCs w:val="24"/>
          <w:highlight w:val="none"/>
        </w:rPr>
        <w:t xml:space="preserve">③供应商拟派的项目负责人（注册建造师）须具备建筑工程专业贰级（含）以上资格或市政公用工程专业贰级（含）以上资格、《建筑施工企业安全生产考核合格证书》（B证）且无在建工程（提供无在建工程承诺书）。</w:t>
      </w:r>
      <w:r/>
    </w:p>
    <w:p>
      <w:pPr>
        <w:pStyle w:val="1270"/>
        <w:jc w:val="left"/>
        <w:spacing w:line="312" w:lineRule="auto"/>
        <w:widowControl w:val="off"/>
        <w:rPr>
          <w:rStyle w:val="1312"/>
          <w:rFonts w:ascii="仿宋" w:hAnsi="仿宋" w:eastAsia="仿宋" w:cs="仿宋"/>
          <w:b/>
          <w:bCs/>
          <w:sz w:val="24"/>
          <w:szCs w:val="24"/>
          <w:highlight w:val="none"/>
        </w:rPr>
      </w:pPr>
      <w:r>
        <w:rPr>
          <w:rStyle w:val="1312"/>
          <w:rFonts w:hint="eastAsia" w:ascii="仿宋" w:hAnsi="仿宋" w:eastAsia="仿宋" w:cs="仿宋"/>
          <w:b/>
          <w:bCs/>
          <w:sz w:val="24"/>
          <w:szCs w:val="24"/>
          <w:highlight w:val="none"/>
        </w:rPr>
        <w:t xml:space="preserve">七、说明：</w:t>
      </w:r>
      <w:r/>
    </w:p>
    <w:p>
      <w:pPr>
        <w:pStyle w:val="1270"/>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1、本项目不接受联合体参与采购活动。</w:t>
      </w:r>
      <w:r/>
    </w:p>
    <w:p>
      <w:pPr>
        <w:pStyle w:val="1270"/>
        <w:ind w:firstLine="482"/>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2、单位负责人为同一人或者存在直接控股、管理关系的不同供应商，不得参加同一合同项下的政府采购活动。</w:t>
      </w:r>
      <w:r/>
    </w:p>
    <w:p>
      <w:pPr>
        <w:pStyle w:val="1270"/>
        <w:ind w:firstLine="482"/>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3、为本采购项目提供整体设计、规范编制或者项目管理、审查等服务的供应商，不得再参加本采购项目的采购活动。</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4、查询及使用供应商信用记录：</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⑴由采购人查询信用信息。</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⑵查询渠道包括：</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①“信用中国”网（www.creditchina.gov.cn）；</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②中国政府采购网（www.ccgp.gov.cn）；</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③“信用中国（江苏）”网（http://credit.jiangsu.gov.cn/）；</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④“信用中国（徐州）”网（www.xuzhoucredit.gov.cn）。</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⑶截止时点（查询环节）：评审结束前。</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⑷信用信息查询记录和证据留存的具体方式：网页截屏打印，与其他采购文件一并保存。</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⑸信用信息的使用规则：</w:t>
      </w:r>
      <w:r/>
    </w:p>
    <w:p>
      <w:pPr>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1270"/>
        <w:jc w:val="left"/>
        <w:spacing w:line="312" w:lineRule="auto"/>
        <w:widowControl w:val="off"/>
        <w:rPr>
          <w:rStyle w:val="1312"/>
          <w:rFonts w:ascii="仿宋" w:hAnsi="仿宋" w:eastAsia="仿宋" w:cs="仿宋"/>
          <w:b/>
          <w:bCs/>
          <w:sz w:val="24"/>
          <w:szCs w:val="24"/>
          <w:highlight w:val="none"/>
        </w:rPr>
      </w:pPr>
      <w:r>
        <w:rPr>
          <w:rStyle w:val="1312"/>
          <w:rFonts w:hint="eastAsia" w:ascii="仿宋" w:hAnsi="仿宋" w:eastAsia="仿宋" w:cs="仿宋"/>
          <w:b/>
          <w:bCs/>
          <w:sz w:val="24"/>
          <w:szCs w:val="24"/>
          <w:highlight w:val="none"/>
        </w:rPr>
        <w:t xml:space="preserve">八、报价要求</w:t>
      </w:r>
      <w:r/>
    </w:p>
    <w:p>
      <w:pPr>
        <w:pStyle w:val="1270"/>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1、供应商报价为要约，采购人无承诺表示时视为未成交，采购人认为必要时可重新进行竞争性磋商采购或采取其它方式采购。</w:t>
      </w:r>
      <w:r/>
    </w:p>
    <w:p>
      <w:pPr>
        <w:pStyle w:val="1270"/>
        <w:ind w:firstLine="480"/>
        <w:jc w:val="left"/>
        <w:spacing w:line="312" w:lineRule="auto"/>
        <w:widowControl w:val="off"/>
        <w:rPr>
          <w:rStyle w:val="1312"/>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2、按照《磋商报价表》要求填写首次报价。</w:t>
      </w:r>
      <w:r/>
    </w:p>
    <w:p>
      <w:pPr>
        <w:pStyle w:val="1270"/>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3、报价包含本项目范围内的全部费用（含税）。供应商有漏报或不报的，采购人将视为有关费用已包括在本项目的报价中而不予支付。采购人不再支付报价以外的任何费用。</w:t>
      </w:r>
      <w:r/>
    </w:p>
    <w:p>
      <w:pPr>
        <w:pStyle w:val="1270"/>
        <w:jc w:val="left"/>
        <w:spacing w:line="312" w:lineRule="auto"/>
        <w:widowControl w:val="off"/>
        <w:rPr>
          <w:rFonts w:ascii="仿宋" w:hAnsi="仿宋" w:eastAsia="仿宋" w:cs="仿宋"/>
          <w:sz w:val="24"/>
          <w:szCs w:val="24"/>
          <w:highlight w:val="none"/>
        </w:rPr>
      </w:pPr>
      <w:r>
        <w:rPr>
          <w:rStyle w:val="1312"/>
          <w:rFonts w:hint="eastAsia" w:ascii="仿宋" w:hAnsi="仿宋" w:eastAsia="仿宋" w:cs="仿宋"/>
          <w:sz w:val="24"/>
          <w:szCs w:val="24"/>
          <w:highlight w:val="none"/>
        </w:rPr>
        <w:t xml:space="preserve">九、</w:t>
      </w:r>
      <w:r>
        <w:rPr>
          <w:rFonts w:hint="eastAsia" w:ascii="仿宋" w:hAnsi="仿宋" w:eastAsia="仿宋" w:cs="仿宋"/>
          <w:sz w:val="24"/>
          <w:szCs w:val="24"/>
          <w:highlight w:val="none"/>
        </w:rPr>
        <w:t xml:space="preserve">供应商提交磋商保证金：不需交纳。</w:t>
      </w:r>
      <w:r/>
    </w:p>
    <w:p>
      <w:pPr>
        <w:pStyle w:val="1278"/>
        <w:jc w:val="center"/>
        <w:keepLines w:val="0"/>
        <w:keepNext w:val="0"/>
        <w:spacing w:before="0" w:after="0" w:line="312" w:lineRule="auto"/>
        <w:widowControl w:val="off"/>
        <w:rPr>
          <w:rStyle w:val="1312"/>
          <w:rFonts w:ascii="仿宋" w:hAnsi="仿宋" w:eastAsia="仿宋" w:cs="仿宋"/>
          <w:sz w:val="24"/>
          <w:szCs w:val="24"/>
          <w:highlight w:val="none"/>
        </w:rPr>
      </w:pPr>
      <w:r/>
      <w:bookmarkStart w:id="3" w:name="_Toc9865"/>
      <w:r>
        <w:rPr>
          <w:rStyle w:val="1312"/>
          <w:rFonts w:hint="eastAsia" w:ascii="仿宋" w:hAnsi="仿宋" w:eastAsia="仿宋" w:cs="仿宋"/>
          <w:sz w:val="24"/>
          <w:szCs w:val="24"/>
          <w:highlight w:val="none"/>
        </w:rPr>
        <w:t xml:space="preserve">第二章 响应文件要求</w:t>
      </w:r>
      <w:bookmarkEnd w:id="3"/>
      <w:r/>
      <w:r/>
    </w:p>
    <w:p>
      <w:pPr>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十、获取竞争性磋商文件：详见本项目竞争性磋商公告。</w:t>
      </w:r>
      <w:r/>
    </w:p>
    <w:p>
      <w:pPr>
        <w:jc w:val="left"/>
        <w:spacing w:line="312" w:lineRule="auto"/>
        <w:rPr>
          <w:rFonts w:ascii="仿宋" w:hAnsi="仿宋" w:eastAsia="仿宋" w:cs="仿宋"/>
          <w:b/>
          <w:bCs/>
          <w:sz w:val="24"/>
          <w:szCs w:val="24"/>
          <w:highlight w:val="none"/>
        </w:rPr>
      </w:pPr>
      <w:r>
        <w:rPr>
          <w:rFonts w:hint="eastAsia" w:ascii="仿宋" w:hAnsi="仿宋" w:eastAsia="仿宋" w:cs="仿宋"/>
          <w:sz w:val="24"/>
          <w:szCs w:val="24"/>
          <w:highlight w:val="none"/>
        </w:rPr>
        <w:t xml:space="preserve">十一、提交响应文件要求</w:t>
      </w:r>
      <w:r/>
    </w:p>
    <w:p>
      <w:pPr>
        <w:jc w:val="center"/>
        <w:spacing w:line="312"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第一部分 基本要求</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（一）本项目通过“苏采云”系统进行电子采购，即供应商响应文件从政府采购客户端工具制作并通过“苏采云”系统提交。</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1、供应商应当通过“苏采云”系统提交数据电文形式的响应文件（即电子投标）。未进行线上响应文件提交并解密(因“苏采云”系统导致解密失败的除外)的供应商，响应无效。</w:t>
      </w:r>
      <w:r/>
    </w:p>
    <w:p>
      <w:pPr>
        <w:ind w:firstLine="480"/>
        <w:jc w:val="left"/>
        <w:spacing w:line="312" w:lineRule="auto"/>
        <w:rPr>
          <w:rStyle w:val="1312"/>
          <w:rFonts w:ascii="仿宋" w:hAnsi="仿宋" w:eastAsia="仿宋" w:cs="仿宋"/>
          <w:sz w:val="24"/>
          <w:szCs w:val="24"/>
          <w:highlight w:val="none"/>
        </w:rPr>
      </w:pPr>
      <w:r>
        <w:rPr>
          <w:rFonts w:hint="eastAsia" w:ascii="仿宋" w:hAnsi="仿宋" w:eastAsia="仿宋" w:cs="仿宋"/>
          <w:bCs/>
          <w:sz w:val="24"/>
          <w:szCs w:val="24"/>
          <w:highlight w:val="none"/>
        </w:rPr>
        <w:t xml:space="preserve">2、“CA数字证书”的获</w:t>
      </w:r>
      <w:r>
        <w:rPr>
          <w:rStyle w:val="1312"/>
          <w:rFonts w:hint="eastAsia" w:ascii="仿宋" w:hAnsi="仿宋" w:eastAsia="仿宋" w:cs="仿宋"/>
          <w:sz w:val="24"/>
          <w:szCs w:val="24"/>
          <w:highlight w:val="none"/>
        </w:rPr>
        <w:t xml:space="preserve">取：供应商需办理CA锁，“苏采云”系统目前仅支持“苏采云”系统下的政务CA，省内各地区办理的“苏采云”系统下的政务CA全省通用。“CA数字证书”的办理方法详见“徐州政府采购网-业务工作-快速服务-下载专区”中《江苏省政府采购（供应商）政务CA数字证书及电子签章办理指南》。</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w:t>
      </w:r>
      <w:r>
        <w:rPr>
          <w:rStyle w:val="1312"/>
          <w:rFonts w:hint="eastAsia" w:ascii="仿宋" w:hAnsi="仿宋" w:eastAsia="仿宋" w:cs="仿宋"/>
          <w:sz w:val="24"/>
          <w:szCs w:val="24"/>
          <w:highlight w:val="none"/>
        </w:rPr>
        <w:t xml:space="preserve">使用需要第三方认证的电子签名、数据电文，通过互联网方式提交首次响应文件。即：使用“电子签名认证证书（CA数字证书）”登录“苏采云”系统</w:t>
      </w:r>
      <w:r>
        <w:rPr>
          <w:rFonts w:hint="eastAsia" w:ascii="仿宋" w:hAnsi="仿宋" w:eastAsia="仿宋" w:cs="仿宋"/>
          <w:bCs/>
          <w:sz w:val="24"/>
          <w:szCs w:val="24"/>
          <w:highlight w:val="none"/>
        </w:rPr>
        <w:t xml:space="preserve">（网址：http：//jszfcg.jsczt.cn/；或进入徐州政府采购网（网址：http：//czj.xz.gov.cn/Home/HomeIndex）--业务工作--用户登录，点击“苏采云”进入系统），按照要求通过互联网方式提交首次响应文件。</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4、“苏采云”系统使用要求：</w:t>
      </w:r>
      <w:r/>
    </w:p>
    <w:p>
      <w:pPr>
        <w:ind w:firstLine="480"/>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4.1使用谷歌浏览器参与不见面开标及磋商环节。</w:t>
      </w:r>
      <w:r/>
    </w:p>
    <w:p>
      <w:pPr>
        <w:ind w:firstLine="480"/>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4.2电脑需提前准备好麦克风、音响，摄像头，提前检查保证能够正常使用。</w:t>
      </w:r>
      <w:r/>
    </w:p>
    <w:p>
      <w:pPr>
        <w:ind w:firstLine="480"/>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4.3操作系统至少win7以上，建议使用win10操作系统。</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sz w:val="24"/>
          <w:szCs w:val="24"/>
          <w:highlight w:val="none"/>
        </w:rPr>
        <w:t xml:space="preserve">（二</w:t>
      </w:r>
      <w:r>
        <w:rPr>
          <w:rFonts w:hint="eastAsia" w:ascii="仿宋" w:hAnsi="仿宋" w:eastAsia="仿宋" w:cs="仿宋"/>
          <w:bCs/>
          <w:sz w:val="24"/>
          <w:szCs w:val="24"/>
          <w:highlight w:val="none"/>
        </w:rPr>
        <w:t xml:space="preserve">）首次响应文件提交时间、地点：：</w:t>
      </w:r>
      <w:r/>
    </w:p>
    <w:p>
      <w:pPr>
        <w:ind w:firstLine="480"/>
        <w:jc w:val="left"/>
        <w:spacing w:line="312" w:lineRule="auto"/>
        <w:rPr>
          <w:rFonts w:ascii="仿宋" w:hAnsi="仿宋" w:eastAsia="仿宋" w:cs="仿宋"/>
          <w:bCs/>
          <w:color w:val="000000" w:themeColor="text1"/>
          <w:sz w:val="24"/>
          <w:szCs w:val="24"/>
          <w:highlight w:val="none"/>
        </w:rPr>
      </w:pPr>
      <w:r>
        <w:rPr>
          <w:rFonts w:hint="eastAsia" w:ascii="仿宋" w:hAnsi="仿宋" w:eastAsia="仿宋" w:cs="仿宋"/>
          <w:bCs/>
          <w:sz w:val="24"/>
          <w:szCs w:val="24"/>
          <w:highlight w:val="none"/>
        </w:rPr>
        <w:t xml:space="preserve">1、首次响应文件提交的截止时间</w:t>
      </w:r>
      <w:r>
        <w:rPr>
          <w:rFonts w:hint="eastAsia" w:ascii="仿宋" w:hAnsi="仿宋" w:eastAsia="仿宋" w:cs="仿宋"/>
          <w:bCs/>
          <w:color w:val="000000" w:themeColor="text1"/>
          <w:sz w:val="24"/>
          <w:szCs w:val="24"/>
          <w:highlight w:val="none"/>
        </w:rPr>
        <w:t xml:space="preserve">：</w:t>
      </w:r>
      <w:r>
        <w:rPr>
          <w:rFonts w:hint="eastAsia" w:ascii="仿宋" w:hAnsi="仿宋" w:eastAsia="仿宋" w:cs="仿宋"/>
          <w:b/>
          <w:color w:val="000000" w:themeColor="text1"/>
          <w:sz w:val="24"/>
          <w:szCs w:val="24"/>
          <w:highlight w:val="none"/>
        </w:rPr>
        <w:t xml:space="preserve">2026年9月9日09：30（北京时间）</w:t>
      </w:r>
      <w:r>
        <w:rPr>
          <w:rFonts w:hint="eastAsia" w:ascii="仿宋" w:hAnsi="仿宋" w:eastAsia="仿宋" w:cs="仿宋"/>
          <w:bCs/>
          <w:color w:val="000000" w:themeColor="text1"/>
          <w:sz w:val="24"/>
          <w:szCs w:val="24"/>
          <w:highlight w:val="none"/>
        </w:rPr>
        <w:t xml:space="preserve">，截止时间后提交的响应文件为无效文件将被拒收。</w:t>
      </w:r>
      <w:r>
        <w:rPr>
          <w:color w:val="000000" w:themeColor="text1"/>
        </w:rPr>
      </w:r>
    </w:p>
    <w:p>
      <w:pPr>
        <w:ind w:firstLine="480"/>
        <w:jc w:val="left"/>
        <w:spacing w:line="312" w:lineRule="auto"/>
        <w:rPr>
          <w:rFonts w:ascii="仿宋" w:hAnsi="仿宋" w:eastAsia="仿宋" w:cs="仿宋"/>
          <w:color w:val="000000" w:themeColor="text1"/>
          <w:sz w:val="24"/>
          <w:szCs w:val="24"/>
          <w:highlight w:val="none"/>
        </w:rPr>
      </w:pPr>
      <w:r>
        <w:rPr>
          <w:rFonts w:hint="eastAsia" w:ascii="仿宋" w:hAnsi="仿宋" w:eastAsia="仿宋" w:cs="仿宋"/>
          <w:bCs/>
          <w:color w:val="000000" w:themeColor="text1"/>
          <w:sz w:val="24"/>
          <w:szCs w:val="24"/>
          <w:highlight w:val="none"/>
        </w:rPr>
        <w:t xml:space="preserve">2、提交首次响应文</w:t>
      </w:r>
      <w:r>
        <w:rPr>
          <w:rFonts w:hint="eastAsia" w:ascii="仿宋" w:hAnsi="仿宋" w:eastAsia="仿宋" w:cs="仿宋"/>
          <w:color w:val="000000" w:themeColor="text1"/>
          <w:sz w:val="24"/>
          <w:szCs w:val="24"/>
          <w:highlight w:val="none"/>
        </w:rPr>
        <w:t xml:space="preserve">件地点：“苏采云”系统（网址：http：//jszfcg.jsczt.cn/）“开标大厅”或进入徐州政府采购网（网址：http：//czj.xz.gov.cn/Home/HomeIndex）-业务工作-用户登录，点击“苏采云”进入系统“开标大厅”。</w:t>
      </w:r>
      <w:r>
        <w:rPr>
          <w:color w:val="000000" w:themeColor="text1"/>
        </w:rPr>
      </w:r>
    </w:p>
    <w:p>
      <w:pPr>
        <w:ind w:firstLine="480"/>
        <w:jc w:val="left"/>
        <w:spacing w:line="312" w:lineRule="auto"/>
        <w:rPr>
          <w:rFonts w:ascii="仿宋" w:hAnsi="仿宋" w:eastAsia="仿宋" w:cs="仿宋"/>
          <w:color w:val="000000" w:themeColor="text1"/>
          <w:sz w:val="24"/>
          <w:szCs w:val="24"/>
          <w:highlight w:val="none"/>
        </w:rPr>
      </w:pPr>
      <w:r>
        <w:rPr>
          <w:rFonts w:hint="eastAsia" w:ascii="仿宋" w:hAnsi="仿宋" w:eastAsia="仿宋" w:cs="仿宋"/>
          <w:color w:val="000000" w:themeColor="text1"/>
          <w:sz w:val="24"/>
          <w:szCs w:val="24"/>
          <w:highlight w:val="none"/>
        </w:rPr>
        <w:t xml:space="preserve">3、首次响应文件开启时间：</w:t>
      </w:r>
      <w:r>
        <w:rPr>
          <w:rFonts w:hint="eastAsia" w:ascii="仿宋" w:hAnsi="仿宋" w:eastAsia="仿宋" w:cs="仿宋"/>
          <w:b/>
          <w:color w:val="000000" w:themeColor="text1"/>
          <w:sz w:val="24"/>
          <w:szCs w:val="24"/>
          <w:highlight w:val="none"/>
        </w:rPr>
        <w:t xml:space="preserve">2026年9月9日09：30</w:t>
      </w:r>
      <w:r>
        <w:rPr>
          <w:rFonts w:hint="eastAsia" w:ascii="仿宋" w:hAnsi="仿宋" w:eastAsia="仿宋" w:cs="仿宋"/>
          <w:b/>
          <w:bCs/>
          <w:color w:val="000000" w:themeColor="text1"/>
          <w:sz w:val="24"/>
          <w:szCs w:val="24"/>
          <w:highlight w:val="none"/>
        </w:rPr>
        <w:t xml:space="preserve">（北京时间）。</w:t>
      </w:r>
      <w:r>
        <w:rPr>
          <w:color w:val="000000" w:themeColor="text1"/>
        </w:rP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首次响应文件开启地点：“苏采云”系统（网址：http：//jszfcg.jsczt.cn/）“开标大厅”或进入徐州政府采购网（网址：http：//czj.xz.gov.cn/Home/HomeIndex）-业务工作-用户登录，点击“苏采云”进入系统“开标大厅”。</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三）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（四）不接受不按要求加盖公章（电子签章）的首次响应文件。电子签章相关要求见“苏采云”系统。</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（五）首次响应文件解密：到达开启时间，“苏采云”系统自动提取所有响应文件，供应商按采购文件规定方式按时在线解密。本项目采购文件规定的供应商按时在线解密方式：</w:t>
      </w:r>
      <w:r>
        <w:rPr>
          <w:rFonts w:hint="eastAsia" w:ascii="仿宋" w:hAnsi="仿宋" w:eastAsia="仿宋" w:cs="仿宋"/>
          <w:b/>
          <w:sz w:val="24"/>
          <w:szCs w:val="24"/>
          <w:highlight w:val="none"/>
        </w:rPr>
        <w:t xml:space="preserve">开启后“苏采云”系统提示解密30分钟内，通过“苏采云”系统</w:t>
      </w:r>
      <w:r>
        <w:rPr>
          <w:rFonts w:hint="eastAsia" w:ascii="仿宋" w:hAnsi="仿宋" w:eastAsia="仿宋" w:cs="仿宋"/>
          <w:sz w:val="24"/>
          <w:szCs w:val="24"/>
          <w:highlight w:val="none"/>
        </w:rPr>
        <w:t xml:space="preserve">（使用“CA数字证书”）解密。</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（六）采购文件（后缀名为“.kedt”）、供应商操作手册及政府采购客户端工具可通过“苏采云”系统（网址：</w:t>
      </w:r>
      <w:r>
        <w:rPr>
          <w:highlight w:val="none"/>
        </w:rPr>
        <w:fldChar w:fldCharType="begin"/>
      </w:r>
      <w:r>
        <w:rPr>
          <w:highlight w:val="none"/>
        </w:rPr>
        <w:instrText xml:space="preserve"> HYPERLINK "http://jszfcg.jsczt.cn/" </w:instrText>
      </w:r>
      <w:r>
        <w:rPr>
          <w:highlight w:val="none"/>
        </w:rPr>
        <w:fldChar w:fldCharType="separate"/>
      </w:r>
      <w:r>
        <w:rPr>
          <w:rStyle w:val="1089"/>
          <w:rFonts w:hint="eastAsia" w:ascii="仿宋" w:hAnsi="仿宋" w:eastAsia="仿宋" w:cs="仿宋"/>
          <w:color w:val="auto"/>
          <w:sz w:val="24"/>
          <w:szCs w:val="24"/>
          <w:highlight w:val="none"/>
        </w:rPr>
        <w:t xml:space="preserve">http：//jszfcg.jsczt.cn/</w:t>
      </w:r>
      <w:r>
        <w:rPr>
          <w:rStyle w:val="1089"/>
          <w:rFonts w:hint="eastAsia" w:ascii="仿宋" w:hAnsi="仿宋" w:eastAsia="仿宋" w:cs="仿宋"/>
          <w:color w:val="auto"/>
          <w:sz w:val="24"/>
          <w:szCs w:val="24"/>
          <w:highlight w:val="none"/>
        </w:rPr>
        <w:fldChar w:fldCharType="end"/>
      </w:r>
      <w:r>
        <w:rPr>
          <w:rFonts w:hint="eastAsia" w:ascii="仿宋" w:hAnsi="仿宋" w:eastAsia="仿宋" w:cs="仿宋"/>
          <w:sz w:val="24"/>
          <w:szCs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ind w:firstLine="480"/>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（七）相关说明： 供应商在“苏采云”系统中提交首次响应文件的时间即为数据电文（响应文件，下同）的发送时间和接收时间。</w:t>
      </w:r>
      <w:r/>
    </w:p>
    <w:p>
      <w:pPr>
        <w:jc w:val="center"/>
        <w:spacing w:line="312" w:lineRule="auto"/>
        <w:rPr>
          <w:rFonts w:ascii="仿宋" w:hAnsi="仿宋" w:eastAsia="仿宋" w:cs="仿宋"/>
          <w:b/>
          <w:sz w:val="24"/>
          <w:szCs w:val="20"/>
          <w:highlight w:val="none"/>
        </w:rPr>
      </w:pPr>
      <w:r>
        <w:rPr>
          <w:rFonts w:hint="eastAsia" w:ascii="仿宋" w:hAnsi="仿宋" w:eastAsia="仿宋" w:cs="仿宋"/>
          <w:b/>
          <w:sz w:val="24"/>
          <w:szCs w:val="20"/>
          <w:highlight w:val="none"/>
        </w:rPr>
        <w:t xml:space="preserve">第二部分 响应文件组成</w:t>
      </w:r>
      <w:r/>
    </w:p>
    <w:p>
      <w:pPr>
        <w:jc w:val="left"/>
        <w:spacing w:line="312" w:lineRule="auto"/>
        <w:rPr>
          <w:rFonts w:ascii="仿宋" w:hAnsi="仿宋" w:eastAsia="仿宋" w:cs="仿宋"/>
          <w:b/>
          <w:bCs/>
          <w:sz w:val="24"/>
          <w:szCs w:val="20"/>
          <w:highlight w:val="none"/>
        </w:rPr>
      </w:pPr>
      <w:r>
        <w:rPr>
          <w:rFonts w:hint="eastAsia" w:ascii="仿宋" w:hAnsi="仿宋" w:eastAsia="仿宋" w:cs="仿宋"/>
          <w:b/>
          <w:bCs/>
          <w:sz w:val="24"/>
          <w:szCs w:val="20"/>
          <w:highlight w:val="none"/>
        </w:rPr>
        <w:t xml:space="preserve">十二、响应文件编制要求，请按照以下要求（包括但不限于以下要求）制作：</w:t>
      </w:r>
      <w:r/>
    </w:p>
    <w:p>
      <w:pPr>
        <w:jc w:val="left"/>
        <w:spacing w:line="312" w:lineRule="auto"/>
        <w:rPr>
          <w:rFonts w:ascii="仿宋" w:hAnsi="仿宋" w:eastAsia="仿宋" w:cs="仿宋"/>
          <w:b/>
          <w:sz w:val="24"/>
          <w:szCs w:val="20"/>
          <w:highlight w:val="none"/>
        </w:rPr>
      </w:pPr>
      <w:r>
        <w:rPr>
          <w:rFonts w:hint="eastAsia" w:ascii="仿宋" w:hAnsi="仿宋" w:eastAsia="仿宋" w:cs="仿宋"/>
          <w:b/>
          <w:sz w:val="24"/>
          <w:szCs w:val="20"/>
          <w:highlight w:val="none"/>
        </w:rPr>
        <w:t xml:space="preserve">（一）基本目录</w:t>
      </w:r>
      <w:r/>
    </w:p>
    <w:p>
      <w:pPr>
        <w:ind w:firstLine="480"/>
        <w:jc w:val="left"/>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1.</w:t>
      </w:r>
      <w:r>
        <w:rPr>
          <w:rFonts w:hint="eastAsia" w:ascii="仿宋" w:hAnsi="仿宋" w:eastAsia="仿宋" w:cs="仿宋"/>
          <w:sz w:val="24"/>
          <w:szCs w:val="20"/>
          <w:highlight w:val="none"/>
        </w:rPr>
        <w:t xml:space="preserve">《磋商报价表》（加盖电子签章，格式见《磋商文件》附件。</w:t>
      </w:r>
      <w:r>
        <w:rPr>
          <w:rFonts w:hint="eastAsia" w:ascii="仿宋" w:hAnsi="仿宋" w:eastAsia="仿宋" w:cs="仿宋"/>
          <w:bCs/>
          <w:sz w:val="24"/>
          <w:szCs w:val="20"/>
          <w:highlight w:val="none"/>
        </w:rPr>
        <w:t xml:space="preserve">政府采购客户端工具输入报价自动生成）；</w:t>
      </w:r>
      <w:r/>
    </w:p>
    <w:p>
      <w:pPr>
        <w:ind w:firstLine="480"/>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2、供应商认为需要提供的其他资料的扫描件（如有）。</w:t>
      </w:r>
      <w:r/>
    </w:p>
    <w:p>
      <w:pPr>
        <w:spacing w:line="312" w:lineRule="auto"/>
        <w:rPr>
          <w:rFonts w:ascii="仿宋" w:hAnsi="仿宋" w:eastAsia="仿宋" w:cs="仿宋"/>
          <w:bCs/>
          <w:sz w:val="24"/>
          <w:szCs w:val="20"/>
          <w:highlight w:val="none"/>
        </w:rPr>
      </w:pPr>
      <w:r>
        <w:rPr>
          <w:rFonts w:hint="eastAsia" w:ascii="仿宋" w:hAnsi="仿宋" w:eastAsia="仿宋" w:cs="仿宋"/>
          <w:b/>
          <w:bCs/>
          <w:sz w:val="24"/>
          <w:szCs w:val="20"/>
          <w:highlight w:val="none"/>
        </w:rPr>
        <w:t xml:space="preserve">（二）资格审查条件（1-7项必须提供，否则</w:t>
      </w:r>
      <w:r>
        <w:rPr>
          <w:rFonts w:hint="eastAsia" w:ascii="仿宋" w:hAnsi="仿宋" w:eastAsia="仿宋" w:cs="仿宋"/>
          <w:b/>
          <w:sz w:val="24"/>
          <w:szCs w:val="20"/>
          <w:highlight w:val="none"/>
        </w:rPr>
        <w:t xml:space="preserve">响应无效</w:t>
      </w:r>
      <w:r>
        <w:rPr>
          <w:rFonts w:hint="eastAsia" w:ascii="仿宋" w:hAnsi="仿宋" w:eastAsia="仿宋" w:cs="仿宋"/>
          <w:bCs/>
          <w:sz w:val="24"/>
          <w:szCs w:val="20"/>
          <w:highlight w:val="none"/>
        </w:rPr>
        <w:t xml:space="preserve">）</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1、具有独立承担民事责任的能力，提供合法有效的法人的营业执照或事业法人证或其他组织应提供合法证明文件或自然人提供身份证件。</w:t>
      </w:r>
      <w:r>
        <w:rPr>
          <w:rFonts w:hint="eastAsia" w:ascii="仿宋" w:hAnsi="仿宋" w:eastAsia="仿宋" w:cs="仿宋"/>
          <w:b/>
          <w:sz w:val="24"/>
          <w:szCs w:val="20"/>
          <w:highlight w:val="none"/>
        </w:rPr>
        <w:t xml:space="preserve">提供以上证明文件的原件扫描件。</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2、财务状况报告，至少提供：</w:t>
      </w:r>
      <w:r/>
    </w:p>
    <w:p>
      <w:pPr>
        <w:ind w:firstLine="482"/>
        <w:spacing w:line="312" w:lineRule="auto"/>
        <w:rPr>
          <w:rFonts w:ascii="仿宋" w:hAnsi="仿宋" w:eastAsia="仿宋" w:cs="仿宋"/>
          <w:bCs/>
          <w:sz w:val="24"/>
          <w:szCs w:val="20"/>
          <w:highlight w:val="none"/>
        </w:rPr>
      </w:pPr>
      <w:r>
        <w:rPr>
          <w:rFonts w:hint="eastAsia" w:ascii="仿宋" w:hAnsi="仿宋" w:eastAsia="仿宋" w:cs="仿宋"/>
          <w:b/>
          <w:sz w:val="24"/>
          <w:szCs w:val="20"/>
          <w:highlight w:val="none"/>
        </w:rPr>
        <w:t xml:space="preserve">供应商的提交首次响应文件时间前六个月内（不含“首次响应文件提交的截止时间”当月）任何一个月的资产负债表和利润表月报表扫描件；或供应商基本开户银行出具的有效的资信证明扫描件；或财政部门认可的政府采购专业担保机构出具的有效的担保函扫描件；或合法有效的经第三方机构审计的上一年度财务审计报告扫描件（2</w:t>
      </w:r>
      <w:r>
        <w:rPr>
          <w:rFonts w:ascii="仿宋" w:hAnsi="仿宋" w:eastAsia="仿宋" w:cs="仿宋"/>
          <w:b/>
          <w:sz w:val="24"/>
          <w:szCs w:val="20"/>
          <w:highlight w:val="none"/>
        </w:rPr>
        <w:t xml:space="preserve">025</w:t>
      </w:r>
      <w:r>
        <w:rPr>
          <w:rFonts w:hint="eastAsia" w:ascii="仿宋" w:hAnsi="仿宋" w:eastAsia="仿宋" w:cs="仿宋"/>
          <w:b/>
          <w:sz w:val="24"/>
          <w:szCs w:val="20"/>
          <w:highlight w:val="none"/>
        </w:rPr>
        <w:t xml:space="preserve">年度，应至少包括审计报告正文、资产负债表、现金流量表、利润表）</w:t>
      </w:r>
      <w:r>
        <w:rPr>
          <w:rFonts w:hint="eastAsia" w:ascii="仿宋" w:hAnsi="仿宋" w:eastAsia="仿宋" w:cs="仿宋"/>
          <w:bCs/>
          <w:sz w:val="24"/>
          <w:szCs w:val="20"/>
          <w:highlight w:val="none"/>
        </w:rPr>
        <w:t xml:space="preserve">。</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3、有依法缴纳税收和社会保障资金的良好记录，至少提供：</w:t>
      </w:r>
      <w:r/>
    </w:p>
    <w:p>
      <w:pPr>
        <w:ind w:firstLine="482"/>
        <w:spacing w:line="312" w:lineRule="auto"/>
        <w:rPr>
          <w:rFonts w:ascii="仿宋" w:hAnsi="仿宋" w:eastAsia="仿宋" w:cs="仿宋"/>
          <w:b/>
          <w:sz w:val="24"/>
          <w:szCs w:val="20"/>
          <w:highlight w:val="none"/>
        </w:rPr>
      </w:pPr>
      <w:r>
        <w:rPr>
          <w:rFonts w:hint="eastAsia" w:ascii="仿宋" w:hAnsi="仿宋" w:eastAsia="仿宋" w:cs="仿宋"/>
          <w:b/>
          <w:sz w:val="24"/>
          <w:szCs w:val="20"/>
          <w:highlight w:val="none"/>
        </w:rPr>
        <w:t xml:space="preserve">供应商的提交首次响应文件时间前六个月内（不含“首次响应文件提交的截止时间”当月）任何一月的依法缴纳税收和社会保障资金的相关材料扫描件；依法免税或不需要缴纳社会保障资金的供应商应提供相应其依法免税或不需要缴纳社会保障资金的证明文件扫描件。</w:t>
      </w:r>
      <w:r/>
    </w:p>
    <w:p>
      <w:pPr>
        <w:ind w:firstLine="482"/>
        <w:spacing w:line="312" w:lineRule="auto"/>
        <w:rPr>
          <w:rFonts w:ascii="仿宋" w:hAnsi="仿宋" w:eastAsia="仿宋" w:cs="仿宋"/>
          <w:b/>
          <w:sz w:val="24"/>
          <w:szCs w:val="24"/>
          <w:highlight w:val="none"/>
        </w:rPr>
      </w:pPr>
      <w:r>
        <w:rPr>
          <w:rFonts w:hint="eastAsia" w:ascii="仿宋" w:hAnsi="仿宋" w:eastAsia="仿宋" w:cs="仿宋"/>
          <w:bCs/>
          <w:sz w:val="24"/>
          <w:szCs w:val="20"/>
          <w:highlight w:val="none"/>
        </w:rPr>
        <w:t xml:space="preserve">4、</w:t>
      </w:r>
      <w:r>
        <w:rPr>
          <w:rFonts w:hint="eastAsia" w:ascii="仿宋" w:hAnsi="仿宋" w:eastAsia="仿宋" w:cs="仿宋"/>
          <w:b/>
          <w:sz w:val="24"/>
          <w:szCs w:val="20"/>
          <w:highlight w:val="none"/>
        </w:rPr>
        <w:t xml:space="preserve">具备履行合同所必需的设备和专业技术能力的证明材料</w:t>
      </w:r>
      <w:r>
        <w:rPr>
          <w:rFonts w:hint="eastAsia" w:ascii="仿宋" w:hAnsi="仿宋" w:eastAsia="仿宋" w:cs="仿宋"/>
          <w:b/>
          <w:sz w:val="24"/>
          <w:szCs w:val="24"/>
          <w:highlight w:val="none"/>
        </w:rPr>
        <w:t xml:space="preserve">（加盖电子签章，格式见《磋商文件》附件）。</w:t>
      </w:r>
      <w:r/>
    </w:p>
    <w:p>
      <w:pPr>
        <w:ind w:firstLine="482"/>
        <w:spacing w:line="312" w:lineRule="auto"/>
        <w:rPr>
          <w:rFonts w:ascii="仿宋" w:hAnsi="仿宋" w:eastAsia="仿宋" w:cs="仿宋"/>
          <w:b/>
          <w:sz w:val="24"/>
          <w:szCs w:val="20"/>
          <w:highlight w:val="none"/>
        </w:rPr>
      </w:pPr>
      <w:r>
        <w:rPr>
          <w:rFonts w:hint="eastAsia" w:ascii="仿宋" w:hAnsi="仿宋" w:eastAsia="仿宋" w:cs="仿宋"/>
          <w:bCs/>
          <w:sz w:val="24"/>
          <w:szCs w:val="20"/>
          <w:highlight w:val="none"/>
        </w:rPr>
        <w:t xml:space="preserve">5、</w:t>
      </w:r>
      <w:r>
        <w:rPr>
          <w:rFonts w:hint="eastAsia" w:ascii="仿宋" w:hAnsi="仿宋" w:eastAsia="仿宋" w:cs="仿宋"/>
          <w:b/>
          <w:sz w:val="24"/>
          <w:szCs w:val="20"/>
          <w:highlight w:val="none"/>
        </w:rPr>
        <w:t xml:space="preserve">供应商参加政府采购活动前三年内在经营活动中没有重大违法记录的书面声明（加盖电子签章，格式见《磋商文件》附件）。</w:t>
      </w:r>
      <w:r/>
    </w:p>
    <w:p>
      <w:pPr>
        <w:ind w:firstLine="482"/>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6、本项目特定资格要求：提</w:t>
      </w:r>
      <w:r>
        <w:rPr>
          <w:rFonts w:hint="eastAsia" w:ascii="仿宋" w:hAnsi="仿宋" w:eastAsia="仿宋" w:cs="仿宋"/>
          <w:bCs/>
          <w:sz w:val="24"/>
          <w:szCs w:val="24"/>
          <w:highlight w:val="none"/>
        </w:rPr>
        <w:t xml:space="preserve">供以下资料的原件扫描件，加盖电子签章</w:t>
      </w:r>
      <w:r>
        <w:rPr>
          <w:rFonts w:hint="eastAsia" w:ascii="仿宋" w:hAnsi="仿宋" w:eastAsia="仿宋" w:cs="仿宋"/>
          <w:bCs/>
          <w:sz w:val="24"/>
          <w:szCs w:val="20"/>
          <w:highlight w:val="none"/>
        </w:rPr>
        <w:t xml:space="preserve">：</w:t>
      </w:r>
      <w:r/>
    </w:p>
    <w:p>
      <w:pPr>
        <w:ind w:firstLine="480"/>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①供应商具有有效的建筑工程施工总承包叁级（含）以上资质或市政公用工程施工总承包叁级（含）以上资质；</w:t>
      </w:r>
      <w:r/>
    </w:p>
    <w:p>
      <w:pPr>
        <w:ind w:firstLine="480"/>
        <w:spacing w:line="312"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②供应商具有有效的《安全生产许可证》证书；</w:t>
      </w:r>
      <w:r/>
    </w:p>
    <w:p>
      <w:pPr>
        <w:ind w:firstLine="480"/>
        <w:spacing w:line="312" w:lineRule="auto"/>
        <w:widowControl w:val="off"/>
        <w:rPr>
          <w:rFonts w:ascii="仿宋" w:hAnsi="仿宋" w:eastAsia="仿宋" w:cs="仿宋"/>
          <w:b/>
          <w:sz w:val="24"/>
          <w:szCs w:val="24"/>
          <w:highlight w:val="none"/>
        </w:rPr>
      </w:pPr>
      <w:r>
        <w:rPr>
          <w:rFonts w:hint="eastAsia" w:ascii="仿宋" w:hAnsi="仿宋" w:eastAsia="仿宋" w:cs="仿宋"/>
          <w:b/>
          <w:bCs/>
          <w:sz w:val="24"/>
          <w:szCs w:val="24"/>
          <w:highlight w:val="none"/>
        </w:rPr>
        <w:t xml:space="preserve">③供应商拟派的项目负责人（注册建造师）须具备建筑工程专业贰级（含）以上资格或市政公用工程专业贰级（含）以上资格、《建筑施工企业安全生产考核合格证书》（B证）且无在建工程（提供无在建工程承诺书，格式自拟）</w:t>
      </w:r>
      <w:r>
        <w:rPr>
          <w:rFonts w:hint="eastAsia" w:ascii="仿宋" w:hAnsi="仿宋" w:eastAsia="仿宋" w:cs="仿宋"/>
          <w:b/>
          <w:sz w:val="24"/>
          <w:szCs w:val="24"/>
          <w:highlight w:val="none"/>
        </w:rPr>
        <w:t xml:space="preserve">；</w:t>
      </w:r>
      <w:r/>
    </w:p>
    <w:p>
      <w:pPr>
        <w:ind w:firstLine="482"/>
        <w:jc w:val="left"/>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7、本项目属于专门面向中小微企业采购的项目，供应商应为中小微企业、监狱企业、残疾人福利性单位。</w:t>
      </w:r>
      <w:r/>
    </w:p>
    <w:p>
      <w:pPr>
        <w:ind w:firstLine="482"/>
        <w:jc w:val="left"/>
        <w:spacing w:line="312" w:lineRule="auto"/>
        <w:rPr>
          <w:rFonts w:ascii="仿宋" w:hAnsi="仿宋" w:eastAsia="仿宋" w:cs="仿宋"/>
          <w:bCs/>
          <w:sz w:val="24"/>
          <w:szCs w:val="20"/>
          <w:highlight w:val="none"/>
        </w:rPr>
      </w:pPr>
      <w:r>
        <w:rPr>
          <w:rFonts w:hint="eastAsia" w:ascii="仿宋" w:hAnsi="仿宋" w:eastAsia="仿宋" w:cs="仿宋"/>
          <w:bCs/>
          <w:sz w:val="24"/>
          <w:szCs w:val="20"/>
          <w:highlight w:val="none"/>
        </w:rPr>
        <w:t xml:space="preserve">供应商为中小企业（含中型、小型、微型企业，下同）的，</w:t>
      </w:r>
      <w:r>
        <w:rPr>
          <w:rFonts w:hint="eastAsia" w:ascii="仿宋" w:hAnsi="仿宋" w:eastAsia="仿宋" w:cs="仿宋"/>
          <w:b/>
          <w:sz w:val="24"/>
          <w:szCs w:val="20"/>
          <w:highlight w:val="none"/>
        </w:rPr>
        <w:t xml:space="preserve">提供《中小企业声明函》原件（电子签章，填写完整。格式见《磋商文件》附件）</w:t>
      </w:r>
      <w:r>
        <w:rPr>
          <w:rFonts w:hint="eastAsia" w:ascii="仿宋" w:hAnsi="仿宋" w:eastAsia="仿宋" w:cs="仿宋"/>
          <w:bCs/>
          <w:sz w:val="24"/>
          <w:szCs w:val="20"/>
          <w:highlight w:val="none"/>
        </w:rPr>
        <w:t xml:space="preserve">。《中小企业声明函》查询渠道参考工业和信息化部发布的中小企业规模自测小程序；</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注：中小微企业，应当符合以下条件：</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供应商为监狱企业的，视同小微企业，提供省级以上监狱管理局、戒毒管理局（含新疆生产建设兵团）出具的属于监狱企业的证明文件扫描件。具体以《财政部 司法部关于政府采购支持监狱企业发展有关问题的通知》（财库〔2014〕68号）的规定为准。</w:t>
      </w:r>
      <w:r/>
    </w:p>
    <w:p>
      <w:pPr>
        <w:ind w:firstLine="482"/>
        <w:jc w:val="left"/>
        <w:spacing w:line="312" w:lineRule="auto"/>
        <w:rPr>
          <w:rFonts w:ascii="仿宋" w:hAnsi="仿宋" w:eastAsia="仿宋" w:cs="仿宋"/>
          <w:sz w:val="24"/>
          <w:szCs w:val="20"/>
          <w:highlight w:val="none"/>
        </w:rPr>
      </w:pPr>
      <w:r>
        <w:rPr>
          <w:rFonts w:hint="eastAsia" w:ascii="仿宋" w:hAnsi="仿宋" w:eastAsia="仿宋" w:cs="仿宋"/>
          <w:sz w:val="24"/>
          <w:szCs w:val="20"/>
          <w:highlight w:val="none"/>
        </w:rPr>
        <w:t xml:space="preserve">8、本项目不接受联合体参与采购活动。</w:t>
      </w:r>
      <w:r/>
    </w:p>
    <w:p>
      <w:pPr>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（三）符合性审查条件（必须提供，否则</w:t>
      </w:r>
      <w:r>
        <w:rPr>
          <w:rFonts w:hint="eastAsia" w:ascii="仿宋" w:hAnsi="仿宋" w:eastAsia="仿宋" w:cs="仿宋"/>
          <w:b/>
          <w:sz w:val="24"/>
          <w:szCs w:val="24"/>
          <w:highlight w:val="none"/>
        </w:rPr>
        <w:t xml:space="preserve">响应无效</w:t>
      </w:r>
      <w:r>
        <w:rPr>
          <w:rFonts w:hint="eastAsia" w:ascii="仿宋" w:hAnsi="仿宋" w:eastAsia="仿宋" w:cs="仿宋"/>
          <w:b/>
          <w:bCs/>
          <w:sz w:val="24"/>
          <w:szCs w:val="24"/>
          <w:highlight w:val="none"/>
        </w:rPr>
        <w:t xml:space="preserve">）</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bookmarkStart w:id="4" w:name="OLE_LINK10"/>
      <w:r>
        <w:rPr>
          <w:rFonts w:hint="eastAsia" w:ascii="仿宋" w:hAnsi="仿宋" w:eastAsia="仿宋" w:cs="仿宋"/>
          <w:sz w:val="24"/>
          <w:szCs w:val="24"/>
          <w:highlight w:val="none"/>
        </w:rPr>
        <w:t xml:space="preserve">《承诺书》</w:t>
      </w:r>
      <w:bookmarkEnd w:id="4"/>
      <w:r>
        <w:rPr>
          <w:rFonts w:hint="eastAsia" w:ascii="仿宋" w:hAnsi="仿宋" w:eastAsia="仿宋" w:cs="仿宋"/>
          <w:sz w:val="24"/>
          <w:szCs w:val="24"/>
          <w:highlight w:val="none"/>
        </w:rPr>
        <w:t xml:space="preserve">（加盖电子签章，格式见《磋商文件》附件）（必须提供，否则响应无效）；</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2、《磋商报价表》（加盖电子签章，格式见《磋商文件》附件）（必须提供，否则响应无效）（磋商文件格式与客户端格式不同，以《磋商文件》附件为准，但首次报价必须相同）；</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3、《分项价格表》</w:t>
      </w:r>
      <w:bookmarkStart w:id="5" w:name="OLE_LINK4"/>
      <w:r>
        <w:rPr>
          <w:rFonts w:hint="eastAsia" w:ascii="仿宋" w:hAnsi="仿宋" w:eastAsia="仿宋" w:cs="仿宋"/>
          <w:sz w:val="24"/>
          <w:szCs w:val="24"/>
          <w:highlight w:val="none"/>
        </w:rPr>
        <w:t xml:space="preserve">（具有标价的工程量清单与报价表）（必须提供，否则响应无效）（加盖电子签章，格式见《磋商文件》附件，见工程量清单）</w:t>
      </w:r>
      <w:bookmarkEnd w:id="5"/>
      <w:r>
        <w:rPr>
          <w:rFonts w:hint="eastAsia" w:ascii="仿宋" w:hAnsi="仿宋" w:eastAsia="仿宋" w:cs="仿宋"/>
          <w:sz w:val="24"/>
          <w:szCs w:val="24"/>
          <w:highlight w:val="none"/>
        </w:rPr>
        <w:t xml:space="preserve">；</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4、《偏离表》</w:t>
      </w:r>
      <w:bookmarkStart w:id="6" w:name="OLE_LINK5"/>
      <w:r>
        <w:rPr>
          <w:rFonts w:hint="eastAsia" w:ascii="仿宋" w:hAnsi="仿宋" w:eastAsia="仿宋" w:cs="仿宋"/>
          <w:sz w:val="24"/>
          <w:szCs w:val="24"/>
          <w:highlight w:val="none"/>
        </w:rPr>
        <w:t xml:space="preserve">（必须提供，否则响应无效）（加盖电子签章，格式见《磋商文件》附件）；</w:t>
      </w:r>
      <w:bookmarkEnd w:id="6"/>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5、《授权委托书》</w:t>
      </w:r>
      <w:bookmarkStart w:id="7" w:name="OLE_LINK6"/>
      <w:r>
        <w:rPr>
          <w:rFonts w:hint="eastAsia" w:ascii="仿宋" w:hAnsi="仿宋" w:eastAsia="仿宋" w:cs="仿宋"/>
          <w:sz w:val="24"/>
          <w:szCs w:val="24"/>
          <w:highlight w:val="none"/>
        </w:rPr>
        <w:t xml:space="preserve">（加盖电子签章，格式见《磋商文件》附件）（必须提供，否则响应无效）；授权委托书中受托人身份证复印件（必须提供，否则响应无效）；</w:t>
      </w:r>
      <w:bookmarkEnd w:id="7"/>
      <w:r/>
      <w:r/>
    </w:p>
    <w:p>
      <w:pPr>
        <w:pStyle w:val="1092"/>
        <w:ind w:firstLine="480"/>
        <w:rPr>
          <w:rFonts w:eastAsia="仿宋"/>
          <w:highlight w:val="none"/>
        </w:rPr>
      </w:pPr>
      <w:r>
        <w:rPr>
          <w:rFonts w:hint="eastAsia" w:ascii="仿宋" w:hAnsi="仿宋" w:eastAsia="仿宋" w:cs="仿宋"/>
          <w:sz w:val="24"/>
          <w:szCs w:val="24"/>
          <w:highlight w:val="none"/>
        </w:rPr>
        <w:t xml:space="preserve">6、《主要材料（设备）一览表》（必须提供，否则响应无效，加盖电子签章，格式见《磋商文件》附件）。</w:t>
      </w:r>
      <w:r/>
    </w:p>
    <w:p>
      <w:pPr>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（四）综合评审评分项</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1、技术部分</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（1）施工组织设计（要求见《磋商文件》第八章《评分细则》及第八章《项目要求（采购需求）》）</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（2）质保服务方案（要求见《磋商文件》第八章《评分细则》及第八章《项目要求（采购需求）》）；</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2、商务部分</w:t>
      </w:r>
      <w:r/>
    </w:p>
    <w:p>
      <w:pPr>
        <w:ind w:firstLine="42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（1）详见《磋商文件》第八章《评分细则》；</w:t>
      </w:r>
      <w:r/>
    </w:p>
    <w:p>
      <w:pPr>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（五）价格折扣文件</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 企业报价折扣证明：无</w:t>
      </w:r>
      <w:r/>
    </w:p>
    <w:p>
      <w:pPr>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十三、提交的首次响应文件的密封、签署、盖章要求：</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1、密封（加密）要求：</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ind w:firstLine="482"/>
        <w:jc w:val="left"/>
        <w:spacing w:line="312"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2、签署要求：</w:t>
      </w:r>
      <w:r>
        <w:rPr>
          <w:rFonts w:hint="eastAsia" w:ascii="仿宋" w:hAnsi="仿宋" w:eastAsia="仿宋" w:cs="仿宋"/>
          <w:bCs/>
          <w:sz w:val="24"/>
          <w:szCs w:val="24"/>
          <w:highlight w:val="none"/>
        </w:rPr>
        <w:t xml:space="preserve">见《磋商文件》第九章附件中相关格式要求。</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bCs/>
          <w:sz w:val="24"/>
          <w:szCs w:val="24"/>
          <w:highlight w:val="none"/>
        </w:rPr>
        <w:t xml:space="preserve">特别提醒：竞争性磋商文件中如需“被授权代表签字或盖章”，供应商可打印成文档，签字或盖章后再扫描上传，最后再电子签章。</w:t>
      </w:r>
      <w:r/>
    </w:p>
    <w:p>
      <w:pPr>
        <w:ind w:firstLine="482"/>
        <w:jc w:val="left"/>
        <w:spacing w:line="312"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3、盖章要求：</w:t>
      </w:r>
      <w:r>
        <w:rPr>
          <w:rFonts w:hint="eastAsia" w:ascii="仿宋" w:hAnsi="仿宋" w:eastAsia="仿宋" w:cs="仿宋"/>
          <w:bCs/>
          <w:sz w:val="24"/>
          <w:szCs w:val="24"/>
          <w:highlight w:val="none"/>
        </w:rPr>
        <w:t xml:space="preserve">见《磋商文件》附件中相关格式要求。供应商须通过“苏采云”系统提供的政府采购客户端工具（使用“CA数字证书”）加盖电子签章。</w:t>
      </w:r>
      <w:r/>
    </w:p>
    <w:p>
      <w:pPr>
        <w:ind w:firstLine="482"/>
        <w:jc w:val="left"/>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4、说明：通过“苏采云”系统提交政府采购客户端工具导出加密的响应文件（后缀名为zip）。响应文件不得超</w:t>
      </w:r>
      <w:r>
        <w:rPr>
          <w:rFonts w:hint="eastAsia" w:ascii="仿宋" w:hAnsi="仿宋" w:eastAsia="仿宋" w:cs="仿宋"/>
          <w:b/>
          <w:bCs/>
          <w:sz w:val="24"/>
          <w:szCs w:val="24"/>
          <w:highlight w:val="none"/>
        </w:rPr>
        <w:t xml:space="preserve">过150M！（以系统为准） </w:t>
      </w:r>
      <w:r/>
    </w:p>
    <w:p>
      <w:pPr>
        <w:ind w:firstLine="482"/>
        <w:jc w:val="left"/>
        <w:spacing w:line="312"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5、特别说明：</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5.1供应商应当按照《磋商文件》的要求编制响应文件，并对其提交的响应文件的真实性、合法性承担法律责任。</w:t>
      </w:r>
      <w:r/>
    </w:p>
    <w:p>
      <w:pPr>
        <w:ind w:firstLine="480"/>
        <w:jc w:val="left"/>
        <w:spacing w:line="312"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5.2供应商中标（成交）后，须向代理机构提供</w:t>
      </w:r>
      <w:bookmarkStart w:id="8" w:name="_Hlk105221193"/>
      <w:r>
        <w:rPr>
          <w:rFonts w:hint="eastAsia" w:ascii="仿宋" w:hAnsi="仿宋" w:eastAsia="仿宋" w:cs="仿宋"/>
          <w:bCs/>
          <w:sz w:val="24"/>
          <w:szCs w:val="24"/>
          <w:highlight w:val="none"/>
        </w:rPr>
        <w:t xml:space="preserve">纸质版响应文件一正四副及电子响应文件（U盘）</w:t>
      </w:r>
      <w:bookmarkEnd w:id="8"/>
      <w:r>
        <w:rPr>
          <w:rFonts w:hint="eastAsia" w:ascii="仿宋" w:hAnsi="仿宋" w:eastAsia="仿宋" w:cs="仿宋"/>
          <w:bCs/>
          <w:sz w:val="24"/>
          <w:szCs w:val="24"/>
          <w:highlight w:val="none"/>
        </w:rPr>
        <w:t xml:space="preserve">。采购人索取成交供应商的响应文件，须在双方签订政府采购合同后，由采购代理机构提供给采购人。</w:t>
      </w:r>
      <w:r/>
    </w:p>
    <w:p>
      <w:pPr>
        <w:pStyle w:val="1278"/>
        <w:jc w:val="center"/>
        <w:keepLines w:val="0"/>
        <w:keepNext w:val="0"/>
        <w:spacing w:before="0" w:after="0" w:line="312" w:lineRule="auto"/>
        <w:widowControl w:val="off"/>
        <w:rPr>
          <w:rStyle w:val="1312"/>
          <w:rFonts w:ascii="仿宋" w:hAnsi="仿宋" w:eastAsia="仿宋" w:cs="仿宋"/>
          <w:sz w:val="24"/>
          <w:szCs w:val="40"/>
          <w:highlight w:val="none"/>
        </w:rPr>
      </w:pPr>
      <w:r/>
      <w:bookmarkStart w:id="9" w:name="_Toc27519"/>
      <w:r>
        <w:rPr>
          <w:rStyle w:val="1312"/>
          <w:rFonts w:hint="eastAsia" w:ascii="仿宋" w:hAnsi="仿宋" w:eastAsia="仿宋" w:cs="仿宋"/>
          <w:sz w:val="24"/>
          <w:szCs w:val="40"/>
          <w:highlight w:val="none"/>
        </w:rPr>
        <w:t xml:space="preserve">第三章 磋商相关说明</w:t>
      </w:r>
      <w:bookmarkEnd w:id="9"/>
      <w:r/>
      <w:r/>
    </w:p>
    <w:p>
      <w:pPr>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十四、磋商要求</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1、被邀请参与磋商的供应商需按本竞争性磋商文件要求的截止时间、方式（地点）提交首次响应文件，同时派人通过“苏采云”系统在“开标大厅”等待磋商。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2、供应商可通过CA数字证书，在首次响应文件开启时间后，使用CA数字证书在规定时间内解密各自响应文件。</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3、供应商授权的磋商人员需携带授权委托书原件及身份证原件，经磋商小组核查后参与磋商活动。</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4、磋商顺序按照电子标书解密先后时间进行，解密时间相同的，不分先后顺序。</w:t>
      </w:r>
      <w:r/>
    </w:p>
    <w:p>
      <w:pPr>
        <w:ind w:firstLine="482"/>
        <w:spacing w:line="360" w:lineRule="auto"/>
        <w:rPr>
          <w:rFonts w:ascii="仿宋" w:hAnsi="仿宋" w:eastAsia="仿宋" w:cs="仿宋"/>
          <w:b/>
          <w:sz w:val="24"/>
          <w:szCs w:val="24"/>
          <w:highlight w:val="none"/>
        </w:rPr>
      </w:pPr>
      <w:r>
        <w:rPr>
          <w:rFonts w:hint="eastAsia" w:ascii="仿宋" w:hAnsi="仿宋" w:eastAsia="仿宋" w:cs="仿宋"/>
          <w:sz w:val="24"/>
          <w:szCs w:val="24"/>
          <w:highlight w:val="none"/>
        </w:rPr>
        <w:t xml:space="preserve">5、磋商方式：本次磋商采用“苏采云”系统中的视频会议，供应商自行选择任意地点参加远程磋商会议。请供应商在磋商前等候在开标大厅，随时接听磋商小组发出的磋商视频邀请</w:t>
      </w:r>
      <w:r>
        <w:rPr>
          <w:rFonts w:hint="eastAsia" w:ascii="仿宋" w:hAnsi="仿宋" w:eastAsia="仿宋" w:cs="仿宋"/>
          <w:b/>
          <w:sz w:val="24"/>
          <w:szCs w:val="24"/>
          <w:highlight w:val="none"/>
        </w:rPr>
        <w:t xml:space="preserve">（所有邀请等待时间2分钟，2分钟内所邀请供应商无响应，视同放弃磋商的权利，由解密顺序下一家进行磋商，不再后补）</w:t>
      </w:r>
      <w:r>
        <w:rPr>
          <w:rFonts w:hint="eastAsia" w:ascii="仿宋" w:hAnsi="仿宋" w:eastAsia="仿宋" w:cs="仿宋"/>
          <w:sz w:val="24"/>
          <w:szCs w:val="24"/>
          <w:highlight w:val="none"/>
        </w:rPr>
        <w:t xml:space="preserve">。</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6、未在规定时间内进行答疑澄清的，视同放弃澄清。</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7、未在规定时间内进行报价的，视为响应无效。</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8、被邀请参与磋商的供应商如未按上述磋商要求执行，视同放弃磋商的权利。</w:t>
      </w:r>
      <w:r/>
    </w:p>
    <w:p>
      <w:pPr>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十五、评审方法和评审标准</w:t>
      </w:r>
      <w:r/>
    </w:p>
    <w:p>
      <w:pPr>
        <w:ind w:firstLine="478"/>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1、评审方法：综合评估法</w:t>
      </w:r>
      <w:r/>
    </w:p>
    <w:p>
      <w:pPr>
        <w:ind w:firstLine="478"/>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2、评审标准：详见《评分细则》</w:t>
      </w:r>
      <w:r/>
    </w:p>
    <w:p>
      <w:pPr>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十六、评审程序</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1、磋商评审小组的组建：采购人组建。磋商小组成员构成：3人。磋商小组确定方式：由政府采购专家组成（从《江苏省政府采购专家库》随机抽取）。    </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2.1磋商小组要求供应商澄清、说明或者更正响应文件应当以书面形式作出。供应商的澄清、说明或者更正应当由法定代表人或其授权代表签字或者加盖公章。</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3、磋商小组所有成员应当集中与单一供应商分别进行磋商，并给予所有参加磋商的供应商平等的磋商机会。</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4、在磋商过程中，磋商小组可以根据磋商文件和磋商情况实质性变动采购需求中的技术、服务要求以及合同草案条款，但不得变动磋商文件中的其他内容。实质性变动的内容，须经采购人代表确认。</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4.1对磋商文件作出的实质性变动是磋商文件的有效组成部分，磋商小组应当及时以书面形式同时通知所有参加磋商的供应商。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4.2供应商应当按照磋商文件的变动情况和磋商小组的要求重新提交响应文件，并由其法定代表人或授权代表签字或者加盖公章。</w:t>
      </w:r>
      <w:r/>
    </w:p>
    <w:p>
      <w:pPr>
        <w:ind w:firstLine="482"/>
        <w:jc w:val="left"/>
        <w:spacing w:line="312" w:lineRule="auto"/>
        <w:rPr>
          <w:rFonts w:ascii="仿宋" w:hAnsi="仿宋" w:eastAsia="仿宋" w:cs="仿宋"/>
          <w:b/>
          <w:bCs/>
          <w:sz w:val="24"/>
          <w:szCs w:val="24"/>
          <w:highlight w:val="none"/>
        </w:rPr>
      </w:pPr>
      <w:r>
        <w:rPr>
          <w:rFonts w:hint="eastAsia" w:ascii="仿宋" w:hAnsi="仿宋" w:eastAsia="仿宋" w:cs="仿宋"/>
          <w:sz w:val="24"/>
          <w:szCs w:val="24"/>
          <w:highlight w:val="none"/>
        </w:rPr>
        <w:t xml:space="preserve">5、 磋商结束后，磋商小组应当要求所有参加磋商的供应商在规定时间内进行最后报价。供应商可按照磋商小组的要求在磋商现场（即“苏采云”系统开标大厅中）</w:t>
      </w:r>
      <w:r>
        <w:rPr>
          <w:rFonts w:hint="eastAsia" w:ascii="仿宋" w:hAnsi="仿宋" w:eastAsia="仿宋" w:cs="仿宋"/>
          <w:b/>
          <w:bCs/>
          <w:sz w:val="24"/>
          <w:szCs w:val="24"/>
          <w:highlight w:val="none"/>
        </w:rPr>
        <w:t xml:space="preserve">进行不少于两次的报价，首轮报价不公开，本项目二次报价为最后报价。</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6、已提交响应文件的供应商，在提交最后报价之前，可以根据磋商情况退出磋商。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7、经磋商确定最终采购需求和提交最后报价的供应商后，由磋商小组采用综合评分法对提交最后报价的供应商的响应文件和最后报价进行综合评分。</w:t>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8、磋商小组应当根据综合评分情况，按照评审得分由高到低顺序推荐成交候选供应商，并编写评审报告。评审得分相同的，按照最后报价由低到高的顺序推荐。评审得分且最后报价相同的，按照技术指标（技术方案）优劣（得分）顺序推荐。</w:t>
      </w:r>
      <w:r/>
    </w:p>
    <w:p>
      <w:pPr>
        <w:ind w:firstLine="480"/>
        <w:spacing w:line="85" w:lineRule="atLeast"/>
        <w:rPr>
          <w:rFonts w:ascii="仿宋" w:hAnsi="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sz w:val="24"/>
          <w:szCs w:val="24"/>
          <w:highlight w:val="none"/>
        </w:rPr>
        <w:t xml:space="preserve">9、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rPr>
          <w:rFonts w:ascii="仿宋" w:hAnsi="仿宋" w:eastAsia="仿宋" w:cs="仿宋"/>
          <w:color w:val="000000"/>
          <w:sz w:val="24"/>
          <w:highlight w:val="none"/>
        </w:rPr>
        <w:t xml:space="preserve">实    </w:t>
      </w:r>
      <w:r>
        <w:rPr>
          <w:rFonts w:hint="eastAsia" w:ascii="仿宋" w:hAnsi="仿宋" w:eastAsia="仿宋" w:cs="仿宋"/>
          <w:color w:val="000000"/>
          <w:sz w:val="24"/>
          <w:highlight w:val="none"/>
        </w:rPr>
        <w:t xml:space="preserve">  </w:t>
      </w:r>
      <w:r>
        <w:rPr>
          <w:rFonts w:ascii="仿宋" w:hAnsi="仿宋" w:eastAsia="仿宋" w:cs="仿宋"/>
          <w:color w:val="000000"/>
          <w:sz w:val="24"/>
          <w:highlight w:val="none"/>
        </w:rPr>
        <w:t xml:space="preserve">施政府采购异常低价审查的有关要求:</w:t>
      </w:r>
      <w:r/>
    </w:p>
    <w:p>
      <w:pPr>
        <w:ind w:firstLine="480"/>
        <w:spacing w:line="85" w:lineRule="atLeast"/>
        <w:rPr>
          <w:rFonts w:ascii="仿宋" w:hAnsi="仿宋" w:cs="仿宋"/>
          <w:b/>
          <w:bCs/>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bCs/>
          <w:color w:val="000000"/>
          <w:sz w:val="24"/>
          <w:highlight w:val="none"/>
        </w:rPr>
        <w:t xml:space="preserve">(1)评审过程中出现下列情形之一的，磋商小组应当启动异常低价投标(响应)审查程序:</w:t>
      </w:r>
      <w:r/>
    </w:p>
    <w:p>
      <w:pPr>
        <w:pStyle w:val="1084"/>
        <w:ind w:firstLine="480"/>
        <w:widowControl w:val="off"/>
        <w:rPr>
          <w:rFonts w:ascii="仿宋" w:hAnsi="仿宋" w:eastAsia="仿宋" w:cs="仿宋"/>
          <w:b/>
          <w:bCs/>
          <w:color w:val="000000"/>
          <w:highlight w:val="none"/>
        </w:rPr>
      </w:pPr>
      <w:r>
        <w:rPr>
          <w:rFonts w:hint="eastAsia" w:ascii="仿宋" w:hAnsi="仿宋" w:eastAsia="仿宋" w:cs="仿宋"/>
          <w:b/>
          <w:bCs/>
          <w:color w:val="000000"/>
          <w:highlight w:val="none"/>
        </w:rPr>
        <w:t xml:space="preserve">评审过程中出现下列情形之一的，评审委员会应当启动异常低价投标审查程序：</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1.投标（响应）报价低于全部通过符合性审查供应商投标（响应）报价平均值50%的，即投标（响应）报价&lt;全部通过符合性审查供应商投标（响应）报价平均值×50%；</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2.投标（响应）报价低于通过符合性审查的次低报价供应商投标（响应）报价50%的，即投标（响应）报价&lt;通过符合性审查的次低报价供应商投标（响应）报价×50%；</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3.投标（响应）报价低于采购项目最高限价（未设定最高限价的采购项目，以采购项目预算金额作为最高限价）45%的，即投标（响应）报价&lt;采购项目最高限价×45%；</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4.评审（评标）委员会基于专业判断，认为供应商报价过低，有可能影响产品质量或者不能诚信履约的其他情形。</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相关法律法规对供应商报价有规定的，从其规定。</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二）评审（评标）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评审（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评标）委员会应当将其作为无效投标（响应）处理。</w:t>
      </w:r>
      <w:r/>
    </w:p>
    <w:p>
      <w:pPr>
        <w:ind w:firstLine="480"/>
        <w:spacing w:line="85" w:lineRule="atLeast"/>
        <w:rPr>
          <w:rFonts w:ascii="仿宋" w:hAnsi="仿宋" w:eastAsia="仿宋" w:cs="仿宋"/>
          <w:b/>
          <w:bCs/>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bCs/>
          <w:color w:val="000000"/>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2"/>
        <w:jc w:val="left"/>
        <w:spacing w:line="312" w:lineRule="auto"/>
        <w:rPr>
          <w:rFonts w:ascii="仿宋" w:hAnsi="仿宋" w:eastAsia="仿宋" w:cs="仿宋"/>
          <w:sz w:val="24"/>
          <w:szCs w:val="24"/>
          <w:highlight w:val="none"/>
        </w:rPr>
      </w:pPr>
      <w:r>
        <w:rPr>
          <w:rFonts w:ascii="仿宋" w:hAnsi="仿宋" w:eastAsia="仿宋" w:cs="仿宋"/>
          <w:sz w:val="24"/>
          <w:szCs w:val="24"/>
          <w:highlight w:val="none"/>
        </w:rPr>
      </w:r>
      <w:r/>
    </w:p>
    <w:p>
      <w:pPr>
        <w:ind w:firstLine="482"/>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spacing w:line="312" w:lineRule="auto"/>
        <w:widowControl w:val="off"/>
        <w:rPr>
          <w:rFonts w:ascii="仿宋" w:hAnsi="仿宋" w:eastAsia="仿宋" w:cs="仿宋"/>
          <w:sz w:val="24"/>
          <w:szCs w:val="24"/>
          <w:highlight w:val="none"/>
        </w:rPr>
      </w:pPr>
      <w:r>
        <w:rPr>
          <w:rFonts w:hint="eastAsia" w:ascii="仿宋" w:hAnsi="仿宋" w:eastAsia="仿宋" w:cs="仿宋"/>
          <w:b/>
          <w:bCs/>
          <w:sz w:val="24"/>
          <w:szCs w:val="24"/>
          <w:highlight w:val="none"/>
        </w:rPr>
        <w:t xml:space="preserve">十七、有下列情形之一的，其响应无效：</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1、电子响应文件未按规定期限提交的； </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2、电子响应文件未按磋商文件要求签章的；</w:t>
      </w:r>
      <w:r/>
    </w:p>
    <w:p>
      <w:pPr>
        <w:ind w:firstLine="480"/>
        <w:spacing w:line="308"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3、投标人未在规定时间内解密电子响应文件的；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4、供应商的法定代表人授权代表，无法定代表人授权委托书的；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5、不具备磋商文件中规定的资格要求或未按磋商文件规定的要求提供资格、资信证明文件的；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6、被列入“信用中国”网站（www.creditchina.gov.cn）失信被执行人、重大税收违法案件当事人名单、政府采购严重违法失信行为记录名单的；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7、响应文件未按磋商文件规定的内容和要求填写的；没有在投标系统指定位置上传对应文件、材料的；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8、响应文件中有磋商文件未允许提供的选择性内容；</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9、不同供应商委托同一单位或者个人办理投标事宜的；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10、不同供应商的单位负责人为同一人或者存在直接控股、管理关系的；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11、不同供应商的响应文件的装订形式、纸张情况、目录序号、排版格式、文字风格等存在明显的相似性或一致性，特征显示由同一单位或者同一个人编制的；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12、不同供应商响应文件内容存在非正常一致、项目组成员出现同一人、响应文件中错误（ 或异常）一致或雷同、电子文档信息一致或雷同的、投标报价呈规律性差异的；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13、不同供应商的委托代理人、项目负责人以及其他相关人员有在同一个单位缴纳社会保险 、同一响应文件中单位名称落款与公章不是同一单位的；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14、项目（标段）投标总价超过本项目（标段）预算或最高限价的；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15、提供虚假材料的（包括工商营业执照、财务报表、资格证明文件等）；</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16、响应文件含有采购人不能接受的附加条件的；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18、除单一来源采购项目外，为采购项目提供整体设计、规范编制或者项目管理、监理、检测等服务的；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19、响应文件内容不全或不符合磋商文件中规定的其它实质性要求的；</w:t>
      </w:r>
      <w:r/>
    </w:p>
    <w:p>
      <w:pPr>
        <w:ind w:firstLine="480"/>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20、法律法规和磋商文件规定的其它无效情形。</w:t>
      </w:r>
      <w:r/>
    </w:p>
    <w:p>
      <w:pPr>
        <w:jc w:val="center"/>
        <w:spacing w:line="312" w:lineRule="auto"/>
        <w:widowControl w:val="off"/>
        <w:rPr>
          <w:rFonts w:ascii="仿宋" w:hAnsi="仿宋" w:eastAsia="仿宋" w:cs="仿宋"/>
          <w:b/>
          <w:bCs/>
          <w:sz w:val="24"/>
          <w:szCs w:val="24"/>
          <w:highlight w:val="none"/>
        </w:rPr>
        <w:outlineLvl w:val="0"/>
      </w:pPr>
      <w:r/>
      <w:bookmarkStart w:id="10" w:name="_Toc17980"/>
      <w:r>
        <w:rPr>
          <w:rFonts w:hint="eastAsia" w:ascii="仿宋" w:hAnsi="仿宋" w:eastAsia="仿宋" w:cs="仿宋"/>
          <w:b/>
          <w:bCs/>
          <w:sz w:val="24"/>
          <w:szCs w:val="24"/>
          <w:highlight w:val="none"/>
        </w:rPr>
        <w:t xml:space="preserve">第四章 确定成交供应商及合同签订等</w:t>
      </w:r>
      <w:bookmarkEnd w:id="10"/>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八、采购人应当在收到评审报告后5个工作日内，从评审报告提出的成交候选供应商中，按照排序由高到低的原则确定成交供应商。在招标公告同一发布媒体上公告成交结果，公告标的的基本概况为成交供应商的《磋商报价表》（最后报价）。</w:t>
      </w:r>
      <w:r/>
    </w:p>
    <w:p>
      <w:pPr>
        <w:ind w:firstLine="480"/>
        <w:jc w:val="left"/>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排名第一的成交候选供应商放弃成交或因不可抗力提出不能履行合同，或者被查实存在影响成交结果的违法行为等情形不符合成交条件的，采购人可以按照评审委员会提出的成交候选供应商名单排序依次确定其他候选供应商为成交供应商并签订政府采购合同，采购人也可以重新开展采购活动。</w:t>
      </w:r>
      <w:r/>
    </w:p>
    <w:p>
      <w:pPr>
        <w:ind w:firstLine="480"/>
        <w:jc w:val="left"/>
        <w:spacing w:line="312" w:lineRule="auto"/>
        <w:widowControl w:val="off"/>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中标人无正当理由拒签合同的，或在签订书面合同时向招标人提出修改合同或者附加条件，招标人取消其中标资格，其投标保证金（如有）不予退还；给招标人造成的损失超过投标保证金（如有）数额的，中标人还应当对超过部分予以赔偿。该损失包括但不限于重新招标费用、成交价格高于本次招标价格部分、实现赔偿的诉讼费、律师费等费用。对依法必须进行招标的项目的中标人，由有关行政监督部门责令改正。</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放弃成交的供应商不得参加对该项目重新开展的采购活动。</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采购人对未成交的供应商不做未成交原因的解释。</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十九、采购人有权对供应商的响应文件的真实性进行核实。如供应商不能提供有效文件，采购人将根据客观事实，有权取消成交供应商，同时供应商承担相应的法律责任。</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二十、采购人与成交供应商应当在成交通知书发出之日起</w:t>
      </w:r>
      <w:r>
        <w:rPr>
          <w:rFonts w:hint="eastAsia" w:ascii="仿宋" w:hAnsi="仿宋" w:eastAsia="仿宋" w:cs="仿宋"/>
          <w:sz w:val="24"/>
          <w:szCs w:val="24"/>
          <w:highlight w:val="none"/>
          <w:u w:val="single"/>
        </w:rPr>
        <w:t xml:space="preserve">15</w:t>
      </w:r>
      <w:r>
        <w:rPr>
          <w:rFonts w:hint="eastAsia" w:ascii="仿宋" w:hAnsi="仿宋" w:eastAsia="仿宋" w:cs="仿宋"/>
          <w:sz w:val="24"/>
          <w:szCs w:val="24"/>
          <w:highlight w:val="none"/>
        </w:rPr>
        <w:t xml:space="preserve">日内，按照磋商文件确定的合同文本以及采购标的、规格型号、采购金额、采购数量、技术和服务要求等事项签订政府采购合同。</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特别说明： 按照《政府采购法》及其实施条例以及相关规定，中标或者成交后无正当理由拒不与采购人签订政府采购合同的，在一至三年内禁止参加政府采购活动，列入政府采购严重违法失信行为记录名单。</w:t>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二十一、</w:t>
      </w:r>
      <w:r>
        <w:rPr>
          <w:rStyle w:val="1312"/>
          <w:rFonts w:hint="eastAsia" w:ascii="仿宋" w:hAnsi="仿宋" w:eastAsia="仿宋" w:cs="仿宋"/>
          <w:sz w:val="24"/>
          <w:highlight w:val="none"/>
        </w:rPr>
        <w:t xml:space="preserve">签订合同前，成交供应商必须向采购人提交其响应文件中所有扫描件的原件，采购人核查无误后，签订合同。如成交供应商不能在采购人规定的时间内向采购人提供原件，将被采购人视为放弃成交资格</w:t>
      </w:r>
      <w:r>
        <w:rPr>
          <w:rFonts w:hint="eastAsia" w:ascii="仿宋" w:hAnsi="仿宋" w:eastAsia="仿宋" w:cs="仿宋"/>
          <w:sz w:val="24"/>
          <w:szCs w:val="24"/>
          <w:highlight w:val="none"/>
        </w:rPr>
        <w:t xml:space="preserve">。</w:t>
      </w:r>
      <w:r/>
    </w:p>
    <w:p>
      <w:pPr>
        <w:jc w:val="center"/>
        <w:spacing w:line="312" w:lineRule="auto"/>
        <w:widowControl w:val="off"/>
        <w:rPr>
          <w:rFonts w:ascii="仿宋" w:hAnsi="仿宋" w:eastAsia="仿宋" w:cs="仿宋"/>
          <w:b/>
          <w:bCs/>
          <w:sz w:val="24"/>
          <w:szCs w:val="24"/>
          <w:highlight w:val="none"/>
        </w:rPr>
        <w:outlineLvl w:val="0"/>
      </w:pPr>
      <w:r/>
      <w:bookmarkStart w:id="11" w:name="_Toc1882"/>
      <w:r>
        <w:rPr>
          <w:rFonts w:hint="eastAsia" w:ascii="仿宋" w:hAnsi="仿宋" w:eastAsia="仿宋" w:cs="仿宋"/>
          <w:b/>
          <w:bCs/>
          <w:sz w:val="24"/>
          <w:szCs w:val="24"/>
          <w:highlight w:val="none"/>
        </w:rPr>
        <w:t xml:space="preserve">第五章 磋商文件的澄清或者修改</w:t>
      </w:r>
      <w:bookmarkEnd w:id="11"/>
      <w:r/>
      <w:r/>
    </w:p>
    <w:p>
      <w:pPr>
        <w:ind w:firstLine="480"/>
        <w:jc w:val="left"/>
        <w:spacing w:line="312"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二十二、竞争性磋商文件的澄清或者修改</w:t>
      </w:r>
      <w:r/>
    </w:p>
    <w:p>
      <w:pPr>
        <w:ind w:firstLine="480"/>
        <w:jc w:val="left"/>
        <w:spacing w:line="312" w:lineRule="auto"/>
        <w:widowControl w:val="off"/>
        <w:rPr>
          <w:rFonts w:ascii="仿宋" w:hAnsi="仿宋" w:eastAsia="仿宋" w:cs="仿宋"/>
          <w:b/>
          <w:bCs/>
          <w:sz w:val="24"/>
          <w:szCs w:val="24"/>
          <w:highlight w:val="none"/>
        </w:rPr>
      </w:pPr>
      <w:r>
        <w:rPr>
          <w:rFonts w:hint="eastAsia" w:ascii="仿宋" w:hAnsi="仿宋" w:eastAsia="仿宋" w:cs="仿宋"/>
          <w:sz w:val="24"/>
          <w:szCs w:val="24"/>
          <w:highlight w:val="none"/>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各所有获取竞争性磋商文件的供应商关注本项目的“更正公告”及附件，否则，将自行承担相应的风险。</w:t>
      </w:r>
      <w:r/>
    </w:p>
    <w:p>
      <w:pPr>
        <w:jc w:val="center"/>
        <w:spacing w:line="300" w:lineRule="auto"/>
        <w:widowControl w:val="off"/>
        <w:rPr>
          <w:rFonts w:ascii="仿宋" w:hAnsi="仿宋" w:eastAsia="仿宋" w:cs="仿宋"/>
          <w:b/>
          <w:bCs/>
          <w:sz w:val="24"/>
          <w:szCs w:val="24"/>
          <w:highlight w:val="none"/>
        </w:rPr>
        <w:outlineLvl w:val="0"/>
      </w:pPr>
      <w:r/>
      <w:bookmarkStart w:id="12" w:name="_Toc9582"/>
      <w:r>
        <w:rPr>
          <w:rFonts w:hint="eastAsia" w:ascii="仿宋" w:hAnsi="仿宋" w:eastAsia="仿宋" w:cs="仿宋"/>
          <w:b/>
          <w:bCs/>
          <w:sz w:val="24"/>
          <w:szCs w:val="24"/>
          <w:highlight w:val="none"/>
        </w:rPr>
        <w:t xml:space="preserve">第六章 询问和质疑</w:t>
      </w:r>
      <w:bookmarkEnd w:id="12"/>
      <w:r/>
      <w:r/>
    </w:p>
    <w:p>
      <w:pPr>
        <w:ind w:firstLine="480"/>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二十三、询问和质疑</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2、质疑和投诉按《政府采购质疑和投诉办法》执行。 供应商对同一采购程序环节的质疑应在质疑期内一次性提出。</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质疑接收人：董莉     联系电话：0516-87888893</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接收地址：徐州市云龙区吉田商务广场B栋222</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3、供应商对评审过程、成交结果提出质疑的，采购人、采购代理机构可以组织原评审委员会协助答复质疑。</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4、采购人或采购代理机构在收到供应商的书面质疑后7个工作日内予以答复，并告知本项目的有关供应商。</w:t>
      </w:r>
      <w:r/>
    </w:p>
    <w:p>
      <w:pPr>
        <w:ind w:firstLine="492"/>
        <w:jc w:val="left"/>
        <w:spacing w:line="30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四、质疑时效期间的计算：（1）对磋商文件提出质疑的，为收到磋商文件之日或磋商文件公告期限届满之日；（2）对磋商过程提出质疑的，为磋商程序各环节结束之日；（3）对成交结果提出质疑的，为成交公告期限届满之日。</w:t>
      </w:r>
      <w:r/>
    </w:p>
    <w:p>
      <w:pPr>
        <w:jc w:val="center"/>
        <w:spacing w:line="300" w:lineRule="auto"/>
        <w:widowControl w:val="off"/>
        <w:rPr>
          <w:rFonts w:ascii="仿宋" w:hAnsi="仿宋" w:eastAsia="仿宋" w:cs="仿宋"/>
          <w:b/>
          <w:bCs/>
          <w:sz w:val="24"/>
          <w:szCs w:val="24"/>
          <w:highlight w:val="none"/>
        </w:rPr>
        <w:outlineLvl w:val="0"/>
      </w:pPr>
      <w:r>
        <w:rPr>
          <w:rFonts w:ascii="仿宋" w:hAnsi="仿宋" w:eastAsia="仿宋" w:cs="仿宋"/>
          <w:b/>
          <w:bCs/>
          <w:sz w:val="24"/>
          <w:szCs w:val="24"/>
          <w:highlight w:val="none"/>
        </w:rPr>
      </w:r>
      <w:r/>
    </w:p>
    <w:p>
      <w:pPr>
        <w:jc w:val="center"/>
        <w:spacing w:line="300" w:lineRule="auto"/>
        <w:widowControl w:val="off"/>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第七章 其他</w:t>
      </w:r>
      <w:r/>
    </w:p>
    <w:p>
      <w:pPr>
        <w:jc w:val="left"/>
        <w:spacing w:line="300" w:lineRule="auto"/>
        <w:widowControl w:val="off"/>
        <w:rPr>
          <w:rFonts w:ascii="仿宋" w:hAnsi="仿宋" w:eastAsia="仿宋" w:cs="仿宋"/>
          <w:sz w:val="24"/>
          <w:szCs w:val="24"/>
          <w:highlight w:val="none"/>
        </w:rPr>
      </w:pPr>
      <w:r>
        <w:rPr>
          <w:rFonts w:ascii="仿宋" w:hAnsi="仿宋" w:eastAsia="仿宋" w:cs="仿宋"/>
          <w:sz w:val="24"/>
          <w:szCs w:val="24"/>
          <w:highlight w:val="none"/>
        </w:rPr>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二十五、成交供应商领取成交通知书时，向徐州保平建设项目管理咨询有限公司一次性支付招标代理服务费，收费标准见附件。同时提供纸质版响应文件一正四副及电子响应文件（U盘）。</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二十六、成交结果在徐州政府采购网http://czj.xz.gov.cn/Home/HomeIndex上公布。</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二十七、联系方式</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1、采购人</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名称：徐州市公安局</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地址：徐州市金山东路6号 </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采购项目联系人：王剑 </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电话：1</w:t>
      </w:r>
      <w:r>
        <w:rPr>
          <w:rFonts w:ascii="仿宋" w:hAnsi="仿宋" w:eastAsia="仿宋" w:cs="仿宋"/>
          <w:sz w:val="24"/>
          <w:szCs w:val="24"/>
          <w:highlight w:val="none"/>
        </w:rPr>
        <w:t xml:space="preserve">3852000150</w:t>
      </w:r>
      <w:r>
        <w:rPr>
          <w:rFonts w:hint="eastAsia" w:ascii="仿宋" w:hAnsi="仿宋" w:eastAsia="仿宋" w:cs="仿宋"/>
          <w:sz w:val="24"/>
          <w:szCs w:val="24"/>
          <w:highlight w:val="none"/>
        </w:rPr>
        <w:t xml:space="preserve"> </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2、采购代理机构</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名称：徐州保平建设项目管理咨询有限公司</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地址：徐州市云龙区吉田商务广场B栋222</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采购代理联系人：董莉</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电话：0516-87888893</w:t>
      </w:r>
      <w:r/>
    </w:p>
    <w:p>
      <w:pPr>
        <w:jc w:val="center"/>
        <w:spacing w:line="300" w:lineRule="auto"/>
        <w:widowControl w:val="off"/>
        <w:rPr>
          <w:rFonts w:ascii="仿宋" w:hAnsi="仿宋" w:eastAsia="仿宋" w:cs="仿宋"/>
          <w:b/>
          <w:bCs/>
          <w:sz w:val="24"/>
          <w:szCs w:val="24"/>
          <w:highlight w:val="none"/>
        </w:rPr>
        <w:outlineLvl w:val="0"/>
      </w:pPr>
      <w:r>
        <w:rPr>
          <w:rFonts w:hint="eastAsia" w:ascii="仿宋" w:hAnsi="仿宋" w:eastAsia="仿宋" w:cs="仿宋"/>
          <w:b/>
          <w:bCs/>
          <w:sz w:val="24"/>
          <w:szCs w:val="24"/>
          <w:highlight w:val="none"/>
        </w:rPr>
        <w:t xml:space="preserve">第八章 附件</w:t>
      </w:r>
      <w:r/>
    </w:p>
    <w:p>
      <w:pPr>
        <w:ind w:firstLine="480"/>
        <w:spacing w:line="360" w:lineRule="auto"/>
        <w:widowControl w:val="off"/>
        <w:rPr>
          <w:rFonts w:ascii="仿宋" w:hAnsi="仿宋" w:eastAsia="仿宋" w:cs="仿宋"/>
          <w:sz w:val="24"/>
          <w:szCs w:val="24"/>
          <w:highlight w:val="none"/>
        </w:rPr>
      </w:pPr>
      <w:r/>
      <w:bookmarkStart w:id="13" w:name="_Hlk81899242"/>
      <w:r>
        <w:rPr>
          <w:rFonts w:hint="eastAsia" w:ascii="仿宋" w:hAnsi="仿宋" w:eastAsia="仿宋" w:cs="仿宋"/>
          <w:sz w:val="24"/>
          <w:szCs w:val="24"/>
          <w:highlight w:val="none"/>
        </w:rPr>
        <w:t xml:space="preserve">1、《评分细则》</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2、《项目要求（采购需求）》</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3、《磋商报价表》</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rPr>
          <w:rFonts w:hint="eastAsia" w:ascii="仿宋" w:hAnsi="仿宋" w:eastAsia="仿宋" w:cs="仿宋"/>
          <w:bCs/>
          <w:sz w:val="24"/>
          <w:szCs w:val="24"/>
          <w:highlight w:val="none"/>
        </w:rPr>
        <w:t xml:space="preserve">分项价格表</w:t>
      </w:r>
      <w:r>
        <w:rPr>
          <w:rFonts w:hint="eastAsia" w:ascii="仿宋" w:hAnsi="仿宋" w:eastAsia="仿宋" w:cs="仿宋"/>
          <w:sz w:val="24"/>
          <w:szCs w:val="24"/>
          <w:highlight w:val="none"/>
        </w:rPr>
        <w:t xml:space="preserve">》</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5、《主要材料（设备）一览表》</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6、《偏离表》</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7、《合同草案条款》</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8、《承诺书》</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9、《授权委托书》</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10、《中小企业声明函》</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11、《残疾人福利性单位声明函》</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12、《供应商参加政府采购活动前3年内在经营活动中没有重大违法记录的书面声明》</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13、《具备履行合同所必需的设备和专业技术能力的书面声明》</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14、《预付款保函》</w:t>
      </w:r>
      <w:r/>
    </w:p>
    <w:p>
      <w:pPr>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15、《代理服务收费标准》</w:t>
      </w:r>
      <w:bookmarkEnd w:id="13"/>
      <w:r/>
      <w:r/>
    </w:p>
    <w:p>
      <w:pPr>
        <w:pStyle w:val="1278"/>
        <w:jc w:val="center"/>
        <w:keepLines w:val="0"/>
        <w:keepNext w:val="0"/>
        <w:spacing w:before="0" w:after="0" w:line="312" w:lineRule="auto"/>
        <w:widowControl w:val="off"/>
        <w:rPr>
          <w:rFonts w:ascii="仿宋" w:hAnsi="仿宋" w:eastAsia="仿宋" w:cs="仿宋"/>
          <w:sz w:val="21"/>
          <w:szCs w:val="21"/>
          <w:highlight w:val="none"/>
        </w:rPr>
      </w:pPr>
      <w:r>
        <w:rPr>
          <w:rStyle w:val="1312"/>
          <w:rFonts w:hint="eastAsia" w:ascii="仿宋" w:hAnsi="仿宋" w:eastAsia="仿宋" w:cs="仿宋"/>
          <w:sz w:val="28"/>
          <w:highlight w:val="none"/>
        </w:rPr>
        <w:br w:type="page" w:clear="all"/>
      </w:r>
      <w:bookmarkStart w:id="14" w:name="_Toc26268"/>
      <w:r>
        <w:rPr>
          <w:rStyle w:val="1312"/>
          <w:rFonts w:hint="eastAsia" w:ascii="仿宋" w:hAnsi="仿宋" w:eastAsia="仿宋" w:cs="仿宋"/>
          <w:sz w:val="28"/>
          <w:highlight w:val="none"/>
        </w:rPr>
        <w:t xml:space="preserve">1、 评分细则</w:t>
      </w:r>
      <w:bookmarkEnd w:id="14"/>
      <w:r/>
      <w:r/>
    </w:p>
    <w:tbl>
      <w:tblPr>
        <w:tblStyle w:val="1058"/>
        <w:tblW w:w="974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97"/>
        <w:gridCol w:w="1428"/>
        <w:gridCol w:w="7022"/>
      </w:tblGrid>
      <w:tr>
        <w:trPr>
          <w:jc w:val="center"/>
          <w:trHeight w:val="90"/>
        </w:trPr>
        <w:tc>
          <w:tcPr>
            <w:gridSpan w:val="2"/>
            <w:tcW w:w="2725" w:type="dxa"/>
            <w:vAlign w:val="center"/>
            <w:textDirection w:val="lrTb"/>
            <w:noWrap w:val="false"/>
          </w:tcPr>
          <w:p>
            <w:pPr>
              <w:pStyle w:val="1102"/>
              <w:jc w:val="center"/>
              <w:spacing w:line="264"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项目</w:t>
            </w:r>
            <w:r/>
          </w:p>
        </w:tc>
        <w:tc>
          <w:tcPr>
            <w:tcW w:w="7022" w:type="dxa"/>
            <w:vAlign w:val="center"/>
            <w:textDirection w:val="lrTb"/>
            <w:noWrap w:val="false"/>
          </w:tcPr>
          <w:p>
            <w:pPr>
              <w:pStyle w:val="1102"/>
              <w:jc w:val="center"/>
              <w:spacing w:line="264" w:lineRule="auto"/>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评分细则</w:t>
            </w:r>
            <w:r/>
          </w:p>
        </w:tc>
      </w:tr>
      <w:tr>
        <w:trPr>
          <w:jc w:val="center"/>
          <w:trHeight w:val="1515"/>
        </w:trPr>
        <w:tc>
          <w:tcPr>
            <w:tcW w:w="1297" w:type="dxa"/>
            <w:vAlign w:val="center"/>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经济</w:t>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部分</w:t>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(20分)</w:t>
            </w:r>
            <w:r/>
          </w:p>
        </w:tc>
        <w:tc>
          <w:tcPr>
            <w:tcW w:w="1428" w:type="dxa"/>
            <w:vAlign w:val="center"/>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价格</w:t>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（20分)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bookmarkStart w:id="15" w:name="OLE_LINK8"/>
            <w:r>
              <w:rPr>
                <w:rFonts w:hint="eastAsia" w:ascii="仿宋" w:hAnsi="仿宋" w:eastAsia="仿宋" w:cs="仿宋"/>
                <w:color w:val="auto"/>
                <w:highlight w:val="none"/>
              </w:rPr>
              <w:t xml:space="preserve">采用低价优先法计算，即满足磋商文件要求且最后报价最低的供应商的价格为磋商基准价，其价格分为满分。其他供应商的价格分统一按照下列公式计算： 磋商报价得分=（磋商基准价/最后磋商报价）×20；</w:t>
            </w:r>
            <w:bookmarkEnd w:id="15"/>
            <w:r/>
            <w:r/>
          </w:p>
        </w:tc>
      </w:tr>
      <w:tr>
        <w:trPr>
          <w:jc w:val="center"/>
          <w:trHeight w:val="2670"/>
        </w:trPr>
        <w:tc>
          <w:tcPr>
            <w:tcW w:w="1297" w:type="dxa"/>
            <w:vAlign w:val="center"/>
            <w:textDirection w:val="lrTb"/>
            <w:noWrap w:val="false"/>
          </w:tcPr>
          <w:p>
            <w:pPr>
              <w:pStyle w:val="1102"/>
              <w:jc w:val="center"/>
              <w:rPr>
                <w:rFonts w:hint="eastAsia" w:ascii="仿宋" w:hAnsi="仿宋" w:eastAsia="仿宋" w:cs="仿宋"/>
                <w:highlight w:val="none"/>
              </w:rPr>
            </w:pPr>
            <w:r>
              <w:rPr>
                <w:rFonts w:hint="eastAsia" w:ascii="仿宋" w:hAnsi="仿宋" w:eastAsia="仿宋" w:cs="仿宋"/>
                <w:highlight w:val="none"/>
              </w:rPr>
              <w:t xml:space="preserve">商务</w:t>
            </w:r>
            <w:r/>
          </w:p>
          <w:p>
            <w:pPr>
              <w:pStyle w:val="1102"/>
              <w:jc w:val="center"/>
              <w:rPr>
                <w:rFonts w:hint="eastAsia" w:ascii="仿宋" w:hAnsi="仿宋" w:eastAsia="仿宋" w:cs="仿宋"/>
                <w:highlight w:val="none"/>
              </w:rPr>
            </w:pPr>
            <w:r>
              <w:rPr>
                <w:rFonts w:hint="eastAsia" w:ascii="仿宋" w:hAnsi="仿宋" w:eastAsia="仿宋" w:cs="仿宋"/>
                <w:highlight w:val="none"/>
              </w:rPr>
              <w:t xml:space="preserve">部分</w:t>
            </w:r>
            <w:r/>
          </w:p>
          <w:p>
            <w:pPr>
              <w:pStyle w:val="1102"/>
              <w:jc w:val="center"/>
              <w:rPr>
                <w:rFonts w:hint="eastAsia" w:ascii="仿宋" w:hAnsi="仿宋" w:eastAsia="仿宋" w:cs="仿宋"/>
                <w:color w:val="auto"/>
                <w:highlight w:val="none"/>
              </w:rPr>
            </w:pPr>
            <w:r>
              <w:rPr>
                <w:rFonts w:hint="eastAsia" w:ascii="仿宋" w:hAnsi="仿宋" w:eastAsia="仿宋" w:cs="仿宋"/>
                <w:highlight w:val="none"/>
              </w:rPr>
              <w:t xml:space="preserve">(4分)</w:t>
            </w:r>
            <w:r/>
          </w:p>
        </w:tc>
        <w:tc>
          <w:tcPr>
            <w:tcW w:w="1428" w:type="dxa"/>
            <w:vAlign w:val="center"/>
            <w:textDirection w:val="lrTb"/>
            <w:noWrap w:val="false"/>
          </w:tcPr>
          <w:p>
            <w:pPr>
              <w:pStyle w:val="1102"/>
              <w:jc w:val="center"/>
              <w:rPr>
                <w:rFonts w:hint="eastAsia" w:ascii="仿宋" w:hAnsi="仿宋" w:eastAsia="仿宋" w:cs="仿宋"/>
                <w:highlight w:val="none"/>
              </w:rPr>
            </w:pPr>
            <w:r>
              <w:rPr>
                <w:rFonts w:hint="eastAsia" w:ascii="仿宋" w:hAnsi="仿宋" w:eastAsia="仿宋" w:cs="仿宋"/>
                <w:highlight w:val="none"/>
              </w:rPr>
              <w:t xml:space="preserve">类似业绩</w:t>
            </w:r>
            <w:r/>
          </w:p>
          <w:p>
            <w:pPr>
              <w:pStyle w:val="1102"/>
              <w:jc w:val="center"/>
              <w:rPr>
                <w:rFonts w:hint="eastAsia" w:ascii="仿宋" w:hAnsi="仿宋" w:eastAsia="仿宋" w:cs="仿宋"/>
                <w:color w:val="auto"/>
                <w:highlight w:val="none"/>
              </w:rPr>
            </w:pPr>
            <w:r>
              <w:rPr>
                <w:rFonts w:hint="eastAsia" w:ascii="仿宋" w:hAnsi="仿宋" w:eastAsia="仿宋" w:cs="仿宋"/>
                <w:highlight w:val="none"/>
              </w:rPr>
              <w:t xml:space="preserve">(4分)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供应商自2023年1月1日（含）（以合同签订时间为准）以来独立承担过合同内容为与本项目相同或类似项目，每提供一份业绩得2分，最高得4分。</w:t>
            </w:r>
            <w:r/>
          </w:p>
          <w:p>
            <w:pPr>
              <w:pStyle w:val="1102"/>
              <w:ind w:right="-4"/>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注：响应文件中需提供中标（成交）通知书、施工合同及完工（或竣工）验收证明材料原件扫描件并加盖供应商电子签章，如上述材料无法体现时间、项目内容、供应商名称等关键评审因素，须另附加盖有业主单位（或合同甲方）公章的相关证明材料扫描件，否则不得分。</w:t>
            </w:r>
            <w:r/>
          </w:p>
        </w:tc>
      </w:tr>
      <w:tr>
        <w:trPr>
          <w:jc w:val="center"/>
          <w:trHeight w:val="2585"/>
        </w:trPr>
        <w:tc>
          <w:tcPr>
            <w:tcW w:w="1297" w:type="dxa"/>
            <w:vAlign w:val="center"/>
            <w:vMerge w:val="restart"/>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施工</w:t>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组织</w:t>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设计</w:t>
            </w:r>
            <w:r/>
          </w:p>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w:t>
            </w:r>
            <w:r>
              <w:rPr>
                <w:rFonts w:hint="eastAsia" w:ascii="仿宋" w:hAnsi="仿宋" w:eastAsia="仿宋" w:cs="仿宋"/>
                <w:color w:val="auto"/>
                <w:highlight w:val="none"/>
                <w:lang w:val="en-US" w:eastAsia="zh-CN"/>
              </w:rPr>
              <w:t xml:space="preserve">70</w:t>
            </w:r>
            <w:r>
              <w:rPr>
                <w:rFonts w:hint="eastAsia" w:ascii="仿宋" w:hAnsi="仿宋" w:eastAsia="仿宋" w:cs="仿宋"/>
                <w:color w:val="auto"/>
                <w:highlight w:val="none"/>
              </w:rPr>
              <w:t xml:space="preserve">分）</w:t>
            </w:r>
            <w:r/>
          </w:p>
        </w:tc>
        <w:tc>
          <w:tcPr>
            <w:tcW w:w="1428" w:type="dxa"/>
            <w:vAlign w:val="center"/>
            <w:textDirection w:val="lrTb"/>
            <w:noWrap w:val="false"/>
          </w:tcPr>
          <w:p>
            <w:pPr>
              <w:jc w:val="center"/>
              <w:spacing w:line="40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总体施工方案</w:t>
            </w:r>
            <w:r/>
          </w:p>
          <w:p>
            <w:pPr>
              <w:pStyle w:val="1102"/>
              <w:jc w:val="center"/>
              <w:rPr>
                <w:rFonts w:hint="eastAsia" w:ascii="仿宋" w:hAnsi="仿宋" w:eastAsia="仿宋" w:cs="仿宋"/>
                <w:color w:val="auto"/>
                <w:highlight w:val="none"/>
              </w:rPr>
            </w:pPr>
            <w:r>
              <w:rPr>
                <w:rFonts w:hint="eastAsia" w:ascii="仿宋" w:hAnsi="仿宋" w:eastAsia="仿宋" w:cs="仿宋"/>
                <w:highlight w:val="none"/>
              </w:rPr>
              <w:t xml:space="preserve">（12分）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根据供应商响应文件中的总体施工方案，对内容的全面性、可行性、针对性进行评价。</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全面性（4分）：全面具体详实得4分；全面得2分；不全面得1分。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可行性（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分）：符合实际切实可行得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分；较切实可行得2分；可行性欠缺得1分。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针对性（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分）：针对性强得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分；针对性较强得2分；针对性不强得1分。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未提供的得0分。本项最高得1</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分，最低得0分。</w:t>
            </w:r>
            <w:r/>
          </w:p>
        </w:tc>
      </w:tr>
      <w:tr>
        <w:trPr>
          <w:jc w:val="center"/>
          <w:trHeight w:val="1845"/>
        </w:trPr>
        <w:tc>
          <w:tcPr>
            <w:tcW w:w="1297" w:type="dxa"/>
            <w:vAlign w:val="center"/>
            <w:vMerge w:val="continue"/>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28" w:type="dxa"/>
            <w:vAlign w:val="center"/>
            <w:textDirection w:val="lrTb"/>
            <w:noWrap w:val="false"/>
          </w:tcPr>
          <w:p>
            <w:pPr>
              <w:jc w:val="center"/>
              <w:spacing w:line="40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进度及</w:t>
            </w:r>
            <w:r/>
          </w:p>
          <w:p>
            <w:pPr>
              <w:jc w:val="center"/>
              <w:rPr>
                <w:rFonts w:hint="eastAsia" w:ascii="仿宋" w:hAnsi="仿宋" w:eastAsia="仿宋" w:cs="仿宋"/>
                <w:color w:val="000000"/>
                <w:sz w:val="24"/>
                <w:highlight w:val="none"/>
              </w:rPr>
            </w:pPr>
            <w:r>
              <w:rPr>
                <w:rFonts w:hint="eastAsia" w:ascii="仿宋" w:hAnsi="仿宋" w:eastAsia="仿宋" w:cs="仿宋"/>
                <w:color w:val="000000"/>
                <w:sz w:val="24"/>
                <w:highlight w:val="none"/>
              </w:rPr>
              <w:t xml:space="preserve">保证措施</w:t>
            </w:r>
            <w:r/>
          </w:p>
          <w:p>
            <w:pPr>
              <w:pStyle w:val="1102"/>
              <w:jc w:val="center"/>
              <w:rPr>
                <w:rFonts w:hint="eastAsia" w:ascii="仿宋" w:hAnsi="仿宋" w:eastAsia="仿宋" w:cs="仿宋"/>
                <w:color w:val="auto"/>
                <w:highlight w:val="none"/>
              </w:rPr>
            </w:pPr>
            <w:r>
              <w:rPr>
                <w:rFonts w:hint="eastAsia" w:ascii="仿宋" w:hAnsi="仿宋" w:eastAsia="仿宋" w:cs="仿宋"/>
                <w:highlight w:val="none"/>
              </w:rPr>
              <w:t xml:space="preserve">(12分）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根据供应商响应文件中施工进度计划和各阶段进度的保证措施，对内容的全面性、可行性、针对性进行评价。</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全面性（4分）：全面具体详实得4分；全面得2分；不全面得1分。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可行性（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分）：符合实际切实可行得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分；较切实可行得2分；可行性欠缺得1分。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针对性（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分）：针对性强得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分；针对性较强得2分；针对性不强得1分。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未提供的得0分。本项最高得1</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分，最低得0分。</w:t>
            </w:r>
            <w:r/>
          </w:p>
        </w:tc>
      </w:tr>
      <w:tr>
        <w:trPr>
          <w:jc w:val="center"/>
          <w:trHeight w:val="792"/>
        </w:trPr>
        <w:tc>
          <w:tcPr>
            <w:tcW w:w="1297" w:type="dxa"/>
            <w:vAlign w:val="center"/>
            <w:vMerge w:val="continue"/>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28" w:type="dxa"/>
            <w:vAlign w:val="center"/>
            <w:textDirection w:val="lrTb"/>
            <w:noWrap w:val="false"/>
          </w:tcPr>
          <w:p>
            <w:pPr>
              <w:jc w:val="center"/>
              <w:spacing w:line="400" w:lineRule="atLeast"/>
              <w:rPr>
                <w:rFonts w:hint="eastAsia" w:ascii="仿宋" w:hAnsi="仿宋" w:eastAsia="仿宋" w:cs="仿宋"/>
                <w:color w:val="000000"/>
                <w:sz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质量保证</w:t>
            </w:r>
            <w:r/>
          </w:p>
          <w:p>
            <w:pPr>
              <w:jc w:val="center"/>
              <w:spacing w:line="400" w:lineRule="atLeast"/>
              <w:rPr>
                <w:rFonts w:hint="eastAsia" w:ascii="仿宋" w:hAnsi="仿宋" w:eastAsia="仿宋" w:cs="仿宋"/>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highlight w:val="none"/>
              </w:rPr>
              <w:t xml:space="preserve">措施</w:t>
            </w:r>
            <w:r/>
          </w:p>
          <w:p>
            <w:pPr>
              <w:pStyle w:val="1102"/>
              <w:jc w:val="center"/>
              <w:rPr>
                <w:rFonts w:hint="eastAsia" w:ascii="仿宋" w:hAnsi="仿宋" w:eastAsia="仿宋" w:cs="仿宋"/>
                <w:color w:val="auto"/>
                <w:highlight w:val="none"/>
              </w:rPr>
            </w:pPr>
            <w:r>
              <w:rPr>
                <w:rFonts w:hint="eastAsia" w:ascii="仿宋" w:hAnsi="仿宋" w:eastAsia="仿宋" w:cs="仿宋"/>
                <w:highlight w:val="none"/>
              </w:rPr>
              <w:t xml:space="preserve">（12分）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根据供应商响应文件中质量保证措施及目标, 对内容的全面性、可行性、针对性进行评价。</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全面性（4分）：全面具体详实得4分；全面得2分；不全面得1分。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可行性（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分）：符合实际切实可行得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分；较切实可行得2分；可行性欠缺得1分。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针对性（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分）：针对性强得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分；针对性较强得2分；针对性不强得1分。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未提供的得0分。本项最高得1</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分，最低得0分。</w:t>
            </w:r>
            <w:r/>
          </w:p>
        </w:tc>
      </w:tr>
      <w:tr>
        <w:trPr>
          <w:jc w:val="center"/>
          <w:trHeight w:val="582"/>
        </w:trPr>
        <w:tc>
          <w:tcPr>
            <w:tcW w:w="1297" w:type="dxa"/>
            <w:vAlign w:val="center"/>
            <w:vMerge w:val="continue"/>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28" w:type="dxa"/>
            <w:vAlign w:val="center"/>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t xml:space="preserve">劳动力、机械设备和材料投入</w:t>
            </w:r>
            <w:r/>
          </w:p>
          <w:p>
            <w:pPr>
              <w:pStyle w:val="1102"/>
              <w:jc w:val="center"/>
              <w:rPr>
                <w:rFonts w:hint="eastAsia" w:ascii="仿宋" w:hAnsi="仿宋" w:eastAsia="仿宋" w:cs="仿宋"/>
                <w:color w:val="auto"/>
                <w:highlight w:val="none"/>
              </w:rPr>
            </w:pPr>
            <w:r>
              <w:rPr>
                <w:rFonts w:hint="eastAsia" w:ascii="仿宋" w:hAnsi="仿宋" w:eastAsia="仿宋" w:cs="仿宋"/>
                <w:highlight w:val="none"/>
              </w:rPr>
              <w:t xml:space="preserve">（6分）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根据供应商响应文件中劳动力、机械设备和材料投入计划，对内容的可行性、针对性进行评价：</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可行性（3分）：符合实际切实可行得3分；较切实可行得2分；可行性欠缺得1分。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针对性（3分）：针对性强得3分；针对性较强得2分；针对性不强得1分。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未提供的得0分。本项最高得6分，最低得0分。</w:t>
            </w:r>
            <w:r/>
          </w:p>
        </w:tc>
      </w:tr>
      <w:tr>
        <w:trPr>
          <w:jc w:val="center"/>
          <w:trHeight w:val="900"/>
        </w:trPr>
        <w:tc>
          <w:tcPr>
            <w:tcW w:w="1297" w:type="dxa"/>
            <w:vAlign w:val="center"/>
            <w:vMerge w:val="continue"/>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28" w:type="dxa"/>
            <w:vAlign w:val="center"/>
            <w:textDirection w:val="lrTb"/>
            <w:noWrap w:val="false"/>
          </w:tcPr>
          <w:p>
            <w:pPr>
              <w:pStyle w:val="1102"/>
              <w:jc w:val="center"/>
              <w:rPr>
                <w:rFonts w:hint="eastAsia" w:ascii="仿宋" w:hAnsi="仿宋" w:eastAsia="仿宋" w:cs="仿宋"/>
                <w:highlight w:val="none"/>
              </w:rPr>
            </w:pPr>
            <w:r>
              <w:rPr>
                <w:rFonts w:hint="eastAsia" w:ascii="仿宋" w:hAnsi="仿宋" w:eastAsia="仿宋" w:cs="仿宋"/>
                <w:highlight w:val="none"/>
              </w:rPr>
              <w:t xml:space="preserve">关键施工技术、工艺及工程项目实施的重点、难点和解决方案</w:t>
            </w:r>
            <w:r/>
          </w:p>
          <w:p>
            <w:pPr>
              <w:pStyle w:val="1102"/>
              <w:jc w:val="center"/>
              <w:rPr>
                <w:rFonts w:hint="eastAsia" w:ascii="仿宋" w:hAnsi="仿宋" w:eastAsia="仿宋" w:cs="仿宋"/>
                <w:highlight w:val="none"/>
              </w:rPr>
            </w:pPr>
            <w:r>
              <w:rPr>
                <w:rFonts w:hint="eastAsia" w:ascii="仿宋" w:hAnsi="仿宋" w:eastAsia="仿宋" w:cs="仿宋"/>
                <w:highlight w:val="none"/>
              </w:rPr>
              <w:t xml:space="preserve">（12分）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根据供应商响应文件中关键施工技术、工艺及工程项目实施的重点、难点和解决方案，对内容的全面性、可行性、针对性进行评价。</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全面性（4分）：全面具体详实得4分；全面得2分；不全面得1分。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可行性（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分）：符合实际切实可行得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分；较切实可行得2分；可行性欠缺得1分。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针对性（</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分）：针对性强得</w:t>
            </w:r>
            <w:r>
              <w:rPr>
                <w:rFonts w:hint="eastAsia" w:ascii="仿宋" w:hAnsi="仿宋" w:eastAsia="仿宋" w:cs="仿宋"/>
                <w:color w:val="auto"/>
                <w:highlight w:val="none"/>
                <w:lang w:val="en-US" w:eastAsia="zh-CN"/>
              </w:rPr>
              <w:t xml:space="preserve">4</w:t>
            </w:r>
            <w:r>
              <w:rPr>
                <w:rFonts w:hint="eastAsia" w:ascii="仿宋" w:hAnsi="仿宋" w:eastAsia="仿宋" w:cs="仿宋"/>
                <w:color w:val="auto"/>
                <w:highlight w:val="none"/>
              </w:rPr>
              <w:t xml:space="preserve">分；针对性较强得2分；针对性不强得1分。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未提供的得0分。本项最高得1</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分，最低得0分。</w:t>
            </w:r>
            <w:r/>
          </w:p>
        </w:tc>
      </w:tr>
      <w:tr>
        <w:trPr>
          <w:jc w:val="center"/>
          <w:trHeight w:val="1776"/>
        </w:trPr>
        <w:tc>
          <w:tcPr>
            <w:tcW w:w="1297" w:type="dxa"/>
            <w:vAlign w:val="center"/>
            <w:vMerge w:val="continue"/>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28"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项目管理班子的人员配备</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（6分）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根据供应商响应文件中项目管理班子的人员配备、素质及管理经验，对内容的可行性、针对性进行评价：</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可行性（3分）：符合实际切实可行得3分；较切实可行得2分；可行性欠缺得1分。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针对性（3分）：针对性强得3分；针对性较强得2分；针对性不强得1分。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未提供的得0分。本项最高得6分，最低得0分。</w:t>
            </w:r>
            <w:r/>
          </w:p>
        </w:tc>
      </w:tr>
      <w:tr>
        <w:trPr>
          <w:jc w:val="center"/>
          <w:trHeight w:val="1618"/>
        </w:trPr>
        <w:tc>
          <w:tcPr>
            <w:tcW w:w="1297" w:type="dxa"/>
            <w:vAlign w:val="center"/>
            <w:vMerge w:val="continue"/>
            <w:textDirection w:val="lrTb"/>
            <w:noWrap w:val="false"/>
          </w:tcPr>
          <w:p>
            <w:pPr>
              <w:pStyle w:val="1102"/>
              <w:jc w:val="center"/>
              <w:rPr>
                <w:rFonts w:hint="eastAsia" w:ascii="仿宋" w:hAnsi="仿宋" w:eastAsia="仿宋" w:cs="仿宋"/>
                <w:color w:val="auto"/>
                <w:highlight w:val="none"/>
              </w:rPr>
            </w:pPr>
            <w:r>
              <w:rPr>
                <w:rFonts w:hint="eastAsia" w:ascii="仿宋" w:hAnsi="仿宋" w:eastAsia="仿宋" w:cs="仿宋"/>
                <w:color w:val="auto"/>
                <w:highlight w:val="none"/>
              </w:rPr>
            </w:r>
            <w:r/>
          </w:p>
        </w:tc>
        <w:tc>
          <w:tcPr>
            <w:tcW w:w="1428" w:type="dxa"/>
            <w:vAlign w:val="center"/>
            <w:textDirection w:val="lrTb"/>
            <w:noWrap w:val="false"/>
          </w:tcPr>
          <w:p>
            <w:pPr>
              <w:pStyle w:val="1102"/>
              <w:jc w:val="center"/>
              <w:rPr>
                <w:rFonts w:hint="eastAsia" w:ascii="仿宋" w:hAnsi="仿宋" w:eastAsia="仿宋" w:cs="仿宋"/>
                <w:highlight w:val="none"/>
              </w:rPr>
            </w:pPr>
            <w:r>
              <w:rPr>
                <w:rFonts w:hint="eastAsia" w:ascii="仿宋" w:hAnsi="仿宋" w:eastAsia="仿宋" w:cs="仿宋"/>
                <w:highlight w:val="none"/>
              </w:rPr>
              <w:t xml:space="preserve">安全文明</w:t>
            </w:r>
            <w:r/>
          </w:p>
          <w:p>
            <w:pPr>
              <w:pStyle w:val="1102"/>
              <w:jc w:val="center"/>
              <w:rPr>
                <w:rFonts w:hint="eastAsia" w:ascii="仿宋" w:hAnsi="仿宋" w:eastAsia="仿宋" w:cs="仿宋"/>
                <w:highlight w:val="none"/>
              </w:rPr>
            </w:pPr>
            <w:r>
              <w:rPr>
                <w:rFonts w:hint="eastAsia" w:ascii="仿宋" w:hAnsi="仿宋" w:eastAsia="仿宋" w:cs="仿宋"/>
                <w:highlight w:val="none"/>
              </w:rPr>
              <w:t xml:space="preserve">施工措施</w:t>
            </w:r>
            <w:r/>
          </w:p>
          <w:p>
            <w:pPr>
              <w:pStyle w:val="1102"/>
              <w:jc w:val="center"/>
              <w:rPr>
                <w:rFonts w:hint="eastAsia" w:ascii="仿宋" w:hAnsi="仿宋" w:eastAsia="仿宋" w:cs="仿宋"/>
                <w:highlight w:val="none"/>
              </w:rPr>
            </w:pPr>
            <w:r>
              <w:rPr>
                <w:rFonts w:hint="eastAsia" w:ascii="仿宋" w:hAnsi="仿宋" w:eastAsia="仿宋" w:cs="仿宋"/>
                <w:highlight w:val="none"/>
              </w:rPr>
              <w:t xml:space="preserve">（10分）</w:t>
            </w:r>
            <w:r/>
          </w:p>
          <w:p>
            <w:pPr>
              <w:pStyle w:val="1102"/>
              <w:jc w:val="center"/>
              <w:rPr>
                <w:rFonts w:hint="eastAsia" w:ascii="仿宋" w:hAnsi="仿宋" w:eastAsia="仿宋" w:cs="仿宋"/>
                <w:highlight w:val="none"/>
              </w:rPr>
            </w:pPr>
            <w:r>
              <w:rPr>
                <w:rFonts w:hint="eastAsia" w:ascii="仿宋" w:hAnsi="仿宋" w:eastAsia="仿宋" w:cs="仿宋"/>
                <w:highlight w:val="none"/>
              </w:rPr>
            </w:r>
            <w:r/>
          </w:p>
        </w:tc>
        <w:tc>
          <w:tcPr>
            <w:tcW w:w="7022" w:type="dxa"/>
            <w:vAlign w:val="center"/>
            <w:textDirection w:val="lrTb"/>
            <w:noWrap w:val="false"/>
          </w:tcPr>
          <w:p>
            <w:pPr>
              <w:pStyle w:val="1102"/>
              <w:jc w:val="both"/>
              <w:rPr>
                <w:rFonts w:hint="eastAsia" w:ascii="仿宋" w:hAnsi="仿宋" w:eastAsia="仿宋" w:cs="仿宋"/>
                <w:highlight w:val="none"/>
              </w:rPr>
            </w:pPr>
            <w:r>
              <w:rPr>
                <w:rFonts w:hint="eastAsia" w:ascii="仿宋" w:hAnsi="仿宋" w:eastAsia="仿宋" w:cs="仿宋"/>
                <w:highlight w:val="none"/>
              </w:rPr>
              <w:t xml:space="preserve">根据供应商响应文件中安全文明施工及环境保护措施，对内容的全面性、可行性、针对性进行评价。</w:t>
            </w:r>
            <w:r/>
          </w:p>
          <w:p>
            <w:pPr>
              <w:pStyle w:val="1102"/>
              <w:jc w:val="both"/>
              <w:rPr>
                <w:rFonts w:hint="eastAsia" w:ascii="仿宋" w:hAnsi="仿宋" w:eastAsia="仿宋" w:cs="仿宋"/>
                <w:highlight w:val="none"/>
              </w:rPr>
            </w:pPr>
            <w:r>
              <w:rPr>
                <w:rFonts w:hint="eastAsia" w:ascii="仿宋" w:hAnsi="仿宋" w:eastAsia="仿宋" w:cs="仿宋"/>
                <w:highlight w:val="none"/>
              </w:rPr>
              <w:t xml:space="preserve">全面性（4分）：全面具体详实得4分；全面得2分；不全面得1分。</w:t>
            </w:r>
            <w:r/>
          </w:p>
          <w:p>
            <w:pPr>
              <w:pStyle w:val="1102"/>
              <w:jc w:val="both"/>
              <w:rPr>
                <w:rFonts w:hint="eastAsia" w:ascii="仿宋" w:hAnsi="仿宋" w:eastAsia="仿宋" w:cs="仿宋"/>
                <w:highlight w:val="none"/>
              </w:rPr>
            </w:pPr>
            <w:r>
              <w:rPr>
                <w:rFonts w:hint="eastAsia" w:ascii="仿宋" w:hAnsi="仿宋" w:eastAsia="仿宋" w:cs="仿宋"/>
                <w:highlight w:val="none"/>
              </w:rPr>
              <w:t xml:space="preserve">可行性（3分）：符合实际切实可行得3分；较切实可行得2分；可行性欠缺得1分。</w:t>
            </w:r>
            <w:r/>
          </w:p>
          <w:p>
            <w:pPr>
              <w:pStyle w:val="1102"/>
              <w:jc w:val="both"/>
              <w:rPr>
                <w:rFonts w:hint="eastAsia" w:ascii="仿宋" w:hAnsi="仿宋" w:eastAsia="仿宋" w:cs="仿宋"/>
                <w:highlight w:val="none"/>
              </w:rPr>
            </w:pPr>
            <w:r>
              <w:rPr>
                <w:rFonts w:hint="eastAsia" w:ascii="仿宋" w:hAnsi="仿宋" w:eastAsia="仿宋" w:cs="仿宋"/>
                <w:highlight w:val="none"/>
              </w:rPr>
              <w:t xml:space="preserve">针对性（3分）：针对性强得3分；针对性较强得2分；针对性不强得1分。</w:t>
            </w:r>
            <w:r/>
          </w:p>
          <w:p>
            <w:pPr>
              <w:pStyle w:val="1102"/>
              <w:jc w:val="both"/>
              <w:rPr>
                <w:rFonts w:hint="eastAsia" w:ascii="仿宋" w:hAnsi="仿宋" w:eastAsia="仿宋" w:cs="仿宋"/>
                <w:highlight w:val="none"/>
              </w:rPr>
            </w:pPr>
            <w:r>
              <w:rPr>
                <w:rFonts w:hint="eastAsia" w:ascii="仿宋" w:hAnsi="仿宋" w:eastAsia="仿宋" w:cs="仿宋"/>
                <w:highlight w:val="none"/>
              </w:rPr>
              <w:t xml:space="preserve">未提供的得0分。本项最高得10分，最低得0分。</w:t>
            </w:r>
            <w:r/>
          </w:p>
        </w:tc>
      </w:tr>
      <w:tr>
        <w:trPr>
          <w:jc w:val="center"/>
          <w:trHeight w:val="3890"/>
        </w:trPr>
        <w:tc>
          <w:tcPr>
            <w:tcW w:w="1297" w:type="dxa"/>
            <w:vAlign w:val="center"/>
            <w:vMerge w:val="restart"/>
            <w:textDirection w:val="lrTb"/>
            <w:noWrap w:val="false"/>
          </w:tcPr>
          <w:p>
            <w:pPr>
              <w:pStyle w:val="1102"/>
              <w:jc w:val="center"/>
              <w:rPr>
                <w:rFonts w:hint="eastAsia" w:ascii="仿宋" w:hAnsi="仿宋" w:eastAsia="仿宋" w:cs="仿宋"/>
                <w:highlight w:val="none"/>
              </w:rPr>
            </w:pPr>
            <w:r>
              <w:rPr>
                <w:rFonts w:hint="eastAsia" w:ascii="仿宋" w:hAnsi="仿宋" w:eastAsia="仿宋" w:cs="仿宋"/>
                <w:highlight w:val="none"/>
              </w:rPr>
              <w:t xml:space="preserve">质保期</w:t>
            </w:r>
            <w:r/>
          </w:p>
          <w:p>
            <w:pPr>
              <w:pStyle w:val="1102"/>
              <w:jc w:val="center"/>
              <w:rPr>
                <w:rFonts w:hint="eastAsia" w:ascii="仿宋" w:hAnsi="仿宋" w:eastAsia="仿宋" w:cs="仿宋"/>
                <w:highlight w:val="none"/>
              </w:rPr>
            </w:pPr>
            <w:r>
              <w:rPr>
                <w:rFonts w:hint="eastAsia" w:ascii="仿宋" w:hAnsi="仿宋" w:eastAsia="仿宋" w:cs="仿宋"/>
                <w:highlight w:val="none"/>
              </w:rPr>
              <w:t xml:space="preserve">服务</w:t>
            </w:r>
            <w:r/>
          </w:p>
          <w:p>
            <w:pPr>
              <w:pStyle w:val="1102"/>
              <w:jc w:val="center"/>
              <w:rPr>
                <w:rFonts w:hint="eastAsia" w:ascii="仿宋" w:hAnsi="仿宋" w:eastAsia="仿宋" w:cs="仿宋"/>
                <w:color w:val="auto"/>
                <w:highlight w:val="none"/>
              </w:rPr>
            </w:pPr>
            <w:r>
              <w:rPr>
                <w:rFonts w:hint="eastAsia" w:ascii="仿宋" w:hAnsi="仿宋" w:eastAsia="仿宋" w:cs="仿宋"/>
                <w:highlight w:val="none"/>
              </w:rPr>
              <w:t xml:space="preserve">(</w:t>
            </w:r>
            <w:r>
              <w:rPr>
                <w:rFonts w:hint="eastAsia" w:ascii="仿宋" w:hAnsi="仿宋" w:eastAsia="仿宋" w:cs="仿宋"/>
                <w:highlight w:val="none"/>
                <w:lang w:val="en-US" w:eastAsia="zh-CN"/>
              </w:rPr>
              <w:t xml:space="preserve">6</w:t>
            </w:r>
            <w:r>
              <w:rPr>
                <w:rFonts w:hint="eastAsia" w:ascii="仿宋" w:hAnsi="仿宋" w:eastAsia="仿宋" w:cs="仿宋"/>
                <w:highlight w:val="none"/>
              </w:rPr>
              <w:t xml:space="preserve">分)</w:t>
            </w:r>
            <w:r/>
          </w:p>
        </w:tc>
        <w:tc>
          <w:tcPr>
            <w:tcW w:w="1428" w:type="dxa"/>
            <w:vAlign w:val="center"/>
            <w:textDirection w:val="lrTb"/>
            <w:noWrap w:val="false"/>
          </w:tcPr>
          <w:p>
            <w:pPr>
              <w:pStyle w:val="1102"/>
              <w:jc w:val="center"/>
              <w:rPr>
                <w:rFonts w:hint="eastAsia" w:ascii="仿宋" w:hAnsi="仿宋" w:eastAsia="仿宋" w:cs="仿宋"/>
                <w:highlight w:val="none"/>
              </w:rPr>
            </w:pPr>
            <w:r>
              <w:rPr>
                <w:rFonts w:hint="eastAsia" w:ascii="仿宋" w:hAnsi="仿宋" w:eastAsia="仿宋" w:cs="仿宋"/>
                <w:highlight w:val="none"/>
              </w:rPr>
              <w:t xml:space="preserve">质保期内、外服务方案</w:t>
            </w:r>
            <w:r/>
          </w:p>
          <w:p>
            <w:pPr>
              <w:pStyle w:val="1102"/>
              <w:jc w:val="center"/>
              <w:rPr>
                <w:rFonts w:hint="eastAsia" w:ascii="仿宋" w:hAnsi="仿宋" w:eastAsia="仿宋" w:cs="仿宋"/>
                <w:highlight w:val="none"/>
              </w:rPr>
            </w:pPr>
            <w:r>
              <w:rPr>
                <w:rFonts w:hint="eastAsia" w:ascii="仿宋" w:hAnsi="仿宋" w:eastAsia="仿宋" w:cs="仿宋"/>
                <w:highlight w:val="none"/>
              </w:rPr>
              <w:t xml:space="preserve">(4分)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对质保期内、外服务方案的内容完整性、合理性、可行性进行评价：</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内容全面、详实具体，措施到位，针对性强的，优于项目需求的得4分；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内容较全面、详实，措施基本到位，针对性较强的，符合项目需求的得3分；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内容一般，措施基本到位，有一定的针对性，仅部分符合项目需求的得2分；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内容欠缺，措施不到位，缺乏针对性的，得1分；</w:t>
            </w:r>
            <w:r/>
          </w:p>
          <w:p>
            <w:pPr>
              <w:pStyle w:val="1102"/>
              <w:jc w:val="both"/>
              <w:rPr>
                <w:rFonts w:hint="eastAsia" w:ascii="仿宋" w:hAnsi="仿宋" w:eastAsia="仿宋" w:cs="仿宋"/>
                <w:highlight w:val="none"/>
              </w:rPr>
            </w:pPr>
            <w:r>
              <w:rPr>
                <w:rFonts w:hint="eastAsia" w:ascii="仿宋" w:hAnsi="仿宋" w:eastAsia="仿宋" w:cs="仿宋"/>
                <w:color w:val="auto"/>
                <w:highlight w:val="none"/>
              </w:rPr>
              <w:t xml:space="preserve">内容较差，不符合项目需求或无内容的，得0分；</w:t>
            </w:r>
            <w:r/>
          </w:p>
        </w:tc>
      </w:tr>
      <w:tr>
        <w:trPr>
          <w:jc w:val="center"/>
          <w:trHeight w:val="554"/>
        </w:trPr>
        <w:tc>
          <w:tcPr>
            <w:tcW w:w="1297" w:type="dxa"/>
            <w:vAlign w:val="center"/>
            <w:vMerge w:val="continue"/>
            <w:textDirection w:val="lrTb"/>
            <w:noWrap w:val="false"/>
          </w:tcPr>
          <w:p>
            <w:pPr>
              <w:pStyle w:val="1102"/>
              <w:jc w:val="center"/>
              <w:rPr>
                <w:rFonts w:hint="eastAsia" w:ascii="仿宋" w:hAnsi="仿宋" w:eastAsia="仿宋" w:cs="仿宋"/>
                <w:highlight w:val="none"/>
              </w:rPr>
            </w:pPr>
            <w:r>
              <w:rPr>
                <w:rFonts w:hint="eastAsia" w:ascii="仿宋" w:hAnsi="仿宋" w:eastAsia="仿宋" w:cs="仿宋"/>
                <w:highlight w:val="none"/>
              </w:rPr>
            </w:r>
            <w:r/>
          </w:p>
        </w:tc>
        <w:tc>
          <w:tcPr>
            <w:tcW w:w="1428"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免费质保期（</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p>
        </w:tc>
        <w:tc>
          <w:tcPr>
            <w:tcW w:w="7022" w:type="dxa"/>
            <w:vAlign w:val="center"/>
            <w:textDirection w:val="lrTb"/>
            <w:noWrap w:val="false"/>
          </w:tcPr>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免费质保期</w:t>
            </w:r>
            <w:r>
              <w:rPr>
                <w:rFonts w:hint="eastAsia" w:ascii="仿宋" w:hAnsi="仿宋" w:eastAsia="仿宋" w:cs="仿宋"/>
                <w:color w:val="auto"/>
                <w:highlight w:val="none"/>
                <w:lang w:val="en-US" w:eastAsia="zh-CN"/>
              </w:rPr>
              <w:t xml:space="preserve">为2</w:t>
            </w:r>
            <w:r>
              <w:rPr>
                <w:rFonts w:hint="eastAsia" w:ascii="仿宋" w:hAnsi="仿宋" w:eastAsia="仿宋" w:cs="仿宋"/>
                <w:color w:val="auto"/>
                <w:highlight w:val="none"/>
              </w:rPr>
              <w:t xml:space="preserve">年的</w:t>
            </w:r>
            <w:r>
              <w:rPr>
                <w:rFonts w:hint="eastAsia" w:ascii="仿宋" w:hAnsi="仿宋" w:eastAsia="仿宋" w:cs="仿宋"/>
                <w:color w:val="auto"/>
                <w:highlight w:val="none"/>
                <w:lang w:eastAsia="zh-CN"/>
              </w:rPr>
              <w:t xml:space="preserve">，</w:t>
            </w:r>
            <w:r>
              <w:rPr>
                <w:rFonts w:hint="eastAsia" w:ascii="仿宋" w:hAnsi="仿宋" w:eastAsia="仿宋" w:cs="仿宋"/>
                <w:color w:val="auto"/>
                <w:highlight w:val="none"/>
              </w:rPr>
              <w:t xml:space="preserve">得0分；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lang w:val="en-US" w:eastAsia="zh-CN"/>
              </w:rPr>
              <w:t xml:space="preserve">增加</w:t>
            </w:r>
            <w:r>
              <w:rPr>
                <w:rFonts w:hint="eastAsia" w:ascii="仿宋" w:hAnsi="仿宋" w:eastAsia="仿宋" w:cs="仿宋"/>
                <w:color w:val="auto"/>
                <w:highlight w:val="none"/>
              </w:rPr>
              <w:t xml:space="preserve">一年，加</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w:t>
            </w:r>
            <w:r>
              <w:rPr>
                <w:rFonts w:hint="eastAsia" w:ascii="仿宋" w:hAnsi="仿宋" w:eastAsia="仿宋" w:cs="仿宋"/>
                <w:color w:val="auto"/>
                <w:highlight w:val="none"/>
                <w:lang w:val="en-US" w:eastAsia="zh-CN"/>
              </w:rPr>
              <w:t xml:space="preserve">增加</w:t>
            </w:r>
            <w:r>
              <w:rPr>
                <w:rFonts w:hint="eastAsia" w:ascii="仿宋" w:hAnsi="仿宋" w:eastAsia="仿宋" w:cs="仿宋"/>
                <w:color w:val="auto"/>
                <w:highlight w:val="none"/>
              </w:rPr>
              <w:t xml:space="preserve">不足一年</w:t>
            </w:r>
            <w:r>
              <w:rPr>
                <w:rFonts w:hint="eastAsia" w:ascii="仿宋" w:hAnsi="仿宋" w:eastAsia="仿宋" w:cs="仿宋"/>
                <w:color w:val="auto"/>
                <w:highlight w:val="none"/>
                <w:lang w:val="en-US" w:eastAsia="zh-CN"/>
              </w:rPr>
              <w:t xml:space="preserve">的</w:t>
            </w:r>
            <w:r>
              <w:rPr>
                <w:rFonts w:hint="eastAsia" w:ascii="仿宋" w:hAnsi="仿宋" w:eastAsia="仿宋" w:cs="仿宋"/>
                <w:color w:val="auto"/>
                <w:highlight w:val="none"/>
              </w:rPr>
              <w:t xml:space="preserve">不得分）。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本项最高得</w:t>
            </w:r>
            <w:r>
              <w:rPr>
                <w:rFonts w:hint="eastAsia" w:ascii="仿宋" w:hAnsi="仿宋" w:eastAsia="仿宋" w:cs="仿宋"/>
                <w:color w:val="auto"/>
                <w:highlight w:val="none"/>
                <w:lang w:val="en-US" w:eastAsia="zh-CN"/>
              </w:rPr>
              <w:t xml:space="preserve">2</w:t>
            </w:r>
            <w:r>
              <w:rPr>
                <w:rFonts w:hint="eastAsia" w:ascii="仿宋" w:hAnsi="仿宋" w:eastAsia="仿宋" w:cs="仿宋"/>
                <w:color w:val="auto"/>
                <w:highlight w:val="none"/>
              </w:rPr>
              <w:t xml:space="preserve">分，最低得0分。</w:t>
            </w:r>
            <w:r/>
          </w:p>
          <w:p>
            <w:pPr>
              <w:pStyle w:val="1102"/>
              <w:jc w:val="both"/>
              <w:rPr>
                <w:rFonts w:hint="eastAsia" w:ascii="仿宋" w:hAnsi="仿宋" w:eastAsia="仿宋" w:cs="仿宋"/>
                <w:color w:val="auto"/>
                <w:highlight w:val="none"/>
              </w:rPr>
            </w:pPr>
            <w:r>
              <w:rPr>
                <w:rFonts w:hint="eastAsia" w:ascii="仿宋" w:hAnsi="仿宋" w:eastAsia="仿宋" w:cs="仿宋"/>
                <w:color w:val="auto"/>
                <w:highlight w:val="none"/>
              </w:rPr>
              <w:t xml:space="preserve">注：提供承诺函并加盖投标人公章，格式自拟。</w:t>
            </w:r>
            <w:r/>
          </w:p>
        </w:tc>
      </w:tr>
    </w:tbl>
    <w:p>
      <w:pPr>
        <w:pStyle w:val="1288"/>
        <w:spacing w:after="0"/>
        <w:widowControl w:val="off"/>
        <w:rPr>
          <w:rFonts w:ascii="仿宋" w:hAnsi="仿宋" w:eastAsia="仿宋" w:cs="仿宋"/>
          <w:sz w:val="21"/>
          <w:szCs w:val="21"/>
          <w:highlight w:val="none"/>
        </w:rPr>
      </w:pPr>
      <w:r>
        <w:rPr>
          <w:rFonts w:ascii="仿宋" w:hAnsi="仿宋" w:eastAsia="仿宋" w:cs="仿宋"/>
          <w:sz w:val="21"/>
          <w:szCs w:val="21"/>
          <w:highlight w:val="none"/>
        </w:rPr>
      </w:r>
      <w:r/>
    </w:p>
    <w:p>
      <w:pPr>
        <w:pStyle w:val="1270"/>
        <w:rPr>
          <w:highlight w:val="none"/>
        </w:rPr>
      </w:pPr>
      <w:r>
        <w:rPr>
          <w:highlight w:val="none"/>
        </w:rPr>
      </w:r>
      <w:r/>
    </w:p>
    <w:p>
      <w:pPr>
        <w:pStyle w:val="1270"/>
        <w:widowControl w:val="off"/>
        <w:rPr>
          <w:rFonts w:ascii="仿宋" w:hAnsi="仿宋" w:eastAsia="仿宋" w:cs="仿宋"/>
          <w:b/>
          <w:bCs/>
          <w:sz w:val="28"/>
          <w:szCs w:val="28"/>
          <w:highlight w:val="none"/>
        </w:rPr>
      </w:pPr>
      <w:r>
        <w:rPr>
          <w:rFonts w:hint="eastAsia" w:ascii="仿宋" w:hAnsi="仿宋" w:eastAsia="仿宋" w:cs="仿宋"/>
          <w:b/>
          <w:bCs/>
          <w:sz w:val="28"/>
          <w:szCs w:val="28"/>
          <w:highlight w:val="none"/>
        </w:rPr>
        <w:t xml:space="preserve">说明：本项目采用综合评分法。（供应商技术部分得分取所有评委的平均值，保留小数点后二位）。</w:t>
      </w:r>
      <w:r/>
    </w:p>
    <w:p>
      <w:pPr>
        <w:rPr>
          <w:rStyle w:val="1312"/>
          <w:rFonts w:ascii="仿宋" w:hAnsi="仿宋" w:eastAsia="仿宋" w:cs="仿宋"/>
          <w:sz w:val="28"/>
          <w:highlight w:val="none"/>
        </w:rPr>
      </w:pPr>
      <w:r>
        <w:rPr>
          <w:rStyle w:val="1312"/>
          <w:rFonts w:hint="eastAsia" w:ascii="仿宋" w:hAnsi="仿宋" w:eastAsia="仿宋" w:cs="仿宋"/>
          <w:sz w:val="28"/>
          <w:highlight w:val="none"/>
        </w:rPr>
        <w:br w:type="page" w:clear="all"/>
      </w:r>
      <w:r/>
    </w:p>
    <w:p>
      <w:pPr>
        <w:pStyle w:val="1278"/>
        <w:jc w:val="center"/>
        <w:keepLines w:val="0"/>
        <w:keepNext w:val="0"/>
        <w:spacing w:before="0" w:after="0" w:line="312" w:lineRule="auto"/>
        <w:widowControl w:val="off"/>
        <w:rPr>
          <w:rStyle w:val="1312"/>
          <w:rFonts w:ascii="仿宋" w:hAnsi="仿宋" w:eastAsia="仿宋" w:cs="仿宋"/>
          <w:sz w:val="28"/>
          <w:highlight w:val="none"/>
        </w:rPr>
      </w:pPr>
      <w:r/>
      <w:bookmarkStart w:id="16" w:name="_Toc20928"/>
      <w:r>
        <w:rPr>
          <w:rStyle w:val="1312"/>
          <w:rFonts w:hint="eastAsia" w:ascii="仿宋" w:hAnsi="仿宋" w:eastAsia="仿宋" w:cs="仿宋"/>
          <w:sz w:val="28"/>
          <w:highlight w:val="none"/>
        </w:rPr>
        <w:t xml:space="preserve">2、项目要求（采购需求）</w:t>
      </w:r>
      <w:bookmarkEnd w:id="16"/>
      <w:r/>
      <w:r/>
    </w:p>
    <w:p>
      <w:pPr>
        <w:pStyle w:val="1270"/>
        <w:widowControl w:val="off"/>
        <w:rPr>
          <w:rFonts w:ascii="仿宋" w:hAnsi="仿宋" w:eastAsia="仿宋" w:cs="仿宋"/>
          <w:highlight w:val="none"/>
        </w:rPr>
      </w:pPr>
      <w:r>
        <w:rPr>
          <w:rFonts w:ascii="仿宋" w:hAnsi="仿宋" w:eastAsia="仿宋" w:cs="仿宋"/>
          <w:highlight w:val="none"/>
        </w:rPr>
      </w:r>
      <w:r/>
    </w:p>
    <w:p>
      <w:pPr>
        <w:pStyle w:val="1270"/>
        <w:spacing w:line="360" w:lineRule="auto"/>
        <w:widowControl w:val="off"/>
        <w:rPr>
          <w:rFonts w:hint="eastAsia" w:ascii="仿宋" w:hAnsi="仿宋" w:eastAsia="仿宋" w:cs="仿宋"/>
          <w:b/>
          <w:sz w:val="24"/>
          <w:szCs w:val="24"/>
          <w:highlight w:val="none"/>
          <w:lang w:eastAsia="zh-CN"/>
        </w:rPr>
      </w:pPr>
      <w:r/>
      <w:bookmarkStart w:id="17" w:name="_Toc80122298"/>
      <w:r>
        <w:rPr>
          <w:rFonts w:hint="eastAsia" w:ascii="仿宋" w:hAnsi="仿宋" w:eastAsia="仿宋" w:cs="仿宋"/>
          <w:b/>
          <w:sz w:val="24"/>
          <w:szCs w:val="24"/>
          <w:highlight w:val="none"/>
        </w:rPr>
        <w:t xml:space="preserve">一、项目名称：</w:t>
      </w:r>
      <w:r>
        <w:rPr>
          <w:rFonts w:hint="eastAsia" w:ascii="仿宋" w:hAnsi="仿宋" w:eastAsia="仿宋" w:cs="仿宋"/>
          <w:b/>
          <w:sz w:val="24"/>
          <w:szCs w:val="24"/>
          <w:highlight w:val="none"/>
          <w:lang w:eastAsia="zh-CN"/>
        </w:rPr>
        <w:t xml:space="preserve">巡特警支队训练场地整治项目</w:t>
      </w:r>
      <w:r/>
    </w:p>
    <w:p>
      <w:pPr>
        <w:pStyle w:val="1270"/>
        <w:spacing w:line="360" w:lineRule="auto"/>
        <w:widowControl w:val="off"/>
        <w:rPr>
          <w:rFonts w:ascii="仿宋" w:hAnsi="仿宋" w:eastAsia="仿宋" w:cs="仿宋"/>
          <w:sz w:val="24"/>
          <w:szCs w:val="24"/>
          <w:highlight w:val="none"/>
        </w:rPr>
      </w:pPr>
      <w:r>
        <w:rPr>
          <w:rFonts w:hint="eastAsia" w:ascii="仿宋" w:hAnsi="仿宋" w:eastAsia="仿宋" w:cs="仿宋"/>
          <w:b/>
          <w:sz w:val="24"/>
          <w:szCs w:val="24"/>
          <w:highlight w:val="none"/>
        </w:rPr>
        <w:t xml:space="preserve">二、本项</w:t>
      </w:r>
      <w:r>
        <w:rPr>
          <w:rFonts w:hint="eastAsia" w:ascii="仿宋" w:hAnsi="仿宋" w:eastAsia="仿宋" w:cs="仿宋"/>
          <w:b/>
          <w:color w:val="000000" w:themeColor="text1"/>
          <w:sz w:val="24"/>
          <w:szCs w:val="24"/>
          <w:highlight w:val="none"/>
          <w14:textFill>
            <w14:solidFill>
              <w14:schemeClr w14:val="tx1"/>
            </w14:solidFill>
          </w14:textFill>
        </w:rPr>
        <w:t xml:space="preserve">目采购预算金额为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268.721424万</w:t>
      </w:r>
      <w:r>
        <w:rPr>
          <w:rFonts w:hint="eastAsia" w:ascii="仿宋" w:hAnsi="仿宋" w:eastAsia="仿宋" w:cs="仿宋"/>
          <w:b/>
          <w:color w:val="000000" w:themeColor="text1"/>
          <w:sz w:val="24"/>
          <w:szCs w:val="24"/>
          <w:highlight w:val="none"/>
          <w14:textFill>
            <w14:solidFill>
              <w14:schemeClr w14:val="tx1"/>
            </w14:solidFill>
          </w14:textFill>
        </w:rPr>
        <w:t xml:space="preserve">元（人民币），</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首次报价和最终报价的</w:t>
      </w:r>
      <w:r>
        <w:rPr>
          <w:rFonts w:hint="eastAsia" w:ascii="仿宋" w:hAnsi="仿宋" w:eastAsia="仿宋" w:cs="仿宋"/>
          <w:b/>
          <w:color w:val="000000" w:themeColor="text1"/>
          <w:sz w:val="24"/>
          <w:szCs w:val="24"/>
          <w:highlight w:val="none"/>
          <w14:textFill>
            <w14:solidFill>
              <w14:schemeClr w14:val="tx1"/>
            </w14:solidFill>
          </w14:textFill>
        </w:rPr>
        <w:t xml:space="preserve">最高限价为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268.721424万</w:t>
      </w:r>
      <w:r>
        <w:rPr>
          <w:rFonts w:hint="eastAsia" w:ascii="仿宋" w:hAnsi="仿宋" w:eastAsia="仿宋" w:cs="仿宋"/>
          <w:b/>
          <w:color w:val="000000" w:themeColor="text1"/>
          <w:sz w:val="24"/>
          <w:szCs w:val="24"/>
          <w:highlight w:val="none"/>
          <w14:textFill>
            <w14:solidFill>
              <w14:schemeClr w14:val="tx1"/>
            </w14:solidFill>
          </w14:textFill>
        </w:rPr>
        <w:t xml:space="preserve">元，</w:t>
      </w:r>
      <w:r>
        <w:rPr>
          <w:rFonts w:hint="eastAsia" w:ascii="仿宋" w:hAnsi="仿宋" w:eastAsia="仿宋" w:cs="仿宋"/>
          <w:b/>
          <w:color w:val="000000" w:themeColor="text1"/>
          <w:sz w:val="24"/>
          <w:szCs w:val="24"/>
          <w:highlight w:val="none"/>
          <w:lang w:val="en-US" w:eastAsia="zh-CN"/>
          <w14:textFill>
            <w14:solidFill>
              <w14:schemeClr w14:val="tx1"/>
            </w14:solidFill>
          </w14:textFill>
        </w:rPr>
        <w:t xml:space="preserve">首次报价和最终报价均</w:t>
      </w:r>
      <w:r>
        <w:rPr>
          <w:rFonts w:hint="eastAsia" w:ascii="仿宋" w:hAnsi="仿宋" w:eastAsia="仿宋" w:cs="仿宋"/>
          <w:b/>
          <w:color w:val="000000" w:themeColor="text1"/>
          <w:sz w:val="24"/>
          <w:szCs w:val="24"/>
          <w:highlight w:val="none"/>
          <w14:textFill>
            <w14:solidFill>
              <w14:schemeClr w14:val="tx1"/>
            </w14:solidFill>
          </w14:textFill>
        </w:rPr>
        <w:t xml:space="preserve">不接受超过</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268.721424万</w:t>
      </w:r>
      <w:r>
        <w:rPr>
          <w:rFonts w:hint="eastAsia" w:ascii="仿宋" w:hAnsi="仿宋" w:eastAsia="仿宋" w:cs="仿宋"/>
          <w:b/>
          <w:color w:val="000000" w:themeColor="text1"/>
          <w:sz w:val="24"/>
          <w:szCs w:val="24"/>
          <w:highlight w:val="none"/>
          <w14:textFill>
            <w14:solidFill>
              <w14:schemeClr w14:val="tx1"/>
            </w14:solidFill>
          </w14:textFill>
        </w:rPr>
        <w:t xml:space="preserve">元的磋商报价</w:t>
      </w:r>
      <w:r>
        <w:rPr>
          <w:rFonts w:hint="eastAsia" w:ascii="仿宋" w:hAnsi="仿宋" w:eastAsia="仿宋" w:cs="仿宋"/>
          <w:sz w:val="24"/>
          <w:szCs w:val="24"/>
          <w:highlight w:val="none"/>
        </w:rPr>
        <w:t xml:space="preserve">。报价包含项目完成的所有费用，供应商报价时需考虑完成本项目内容所涉及的包含并不限于人工费、材料费、机械费、工具设备费、税费、保险、培训、售后服务、验收、利润等供应商认为可能发生的相关一切费用。采购人不再支付报价以外的任何费用。</w:t>
      </w:r>
      <w:r/>
    </w:p>
    <w:p>
      <w:pPr>
        <w:pStyle w:val="1270"/>
        <w:spacing w:line="360" w:lineRule="auto"/>
        <w:widowControl w:val="off"/>
        <w:rPr>
          <w:rFonts w:ascii="仿宋" w:hAnsi="仿宋" w:eastAsia="仿宋" w:cs="仿宋"/>
          <w:sz w:val="24"/>
          <w:szCs w:val="24"/>
          <w:highlight w:val="none"/>
        </w:rPr>
      </w:pPr>
      <w:r>
        <w:rPr>
          <w:rFonts w:hint="eastAsia" w:ascii="仿宋" w:hAnsi="仿宋" w:eastAsia="仿宋" w:cs="仿宋"/>
          <w:b/>
          <w:sz w:val="24"/>
          <w:szCs w:val="24"/>
          <w:highlight w:val="none"/>
        </w:rPr>
        <w:t xml:space="preserve">三、项目概况</w:t>
      </w:r>
      <w:r/>
    </w:p>
    <w:p>
      <w:pPr>
        <w:pStyle w:val="1270"/>
        <w:ind w:firstLine="422"/>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1、项目名称：</w:t>
      </w:r>
      <w:r>
        <w:rPr>
          <w:rFonts w:hint="eastAsia" w:ascii="仿宋" w:hAnsi="仿宋" w:eastAsia="仿宋" w:cs="仿宋"/>
          <w:sz w:val="24"/>
          <w:szCs w:val="24"/>
          <w:highlight w:val="none"/>
          <w:lang w:eastAsia="zh-CN"/>
        </w:rPr>
        <w:t xml:space="preserve">巡特警支队训练场地整治项目</w:t>
      </w:r>
      <w:r/>
    </w:p>
    <w:p>
      <w:pPr>
        <w:pStyle w:val="1270"/>
        <w:ind w:firstLine="422"/>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2、项目地点：徐州市泉山区</w:t>
      </w:r>
      <w:r/>
    </w:p>
    <w:p>
      <w:pPr>
        <w:pStyle w:val="1270"/>
        <w:ind w:firstLine="422"/>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3、项目内容：主要对徐州市公安局巡特警支队运动场场地进行景观、绿化、给水工程建设，详见工程量清单及施工图所含全部内容。</w:t>
      </w:r>
      <w:r/>
    </w:p>
    <w:p>
      <w:pPr>
        <w:pStyle w:val="1270"/>
        <w:ind w:firstLine="422"/>
        <w:spacing w:line="360" w:lineRule="auto"/>
        <w:widowControl w:val="off"/>
        <w:rPr>
          <w:rFonts w:ascii="仿宋" w:hAnsi="仿宋" w:eastAsia="仿宋" w:cs="仿宋"/>
          <w:sz w:val="24"/>
          <w:szCs w:val="24"/>
          <w:highlight w:val="none"/>
        </w:rPr>
      </w:pPr>
      <w:r/>
      <w:bookmarkStart w:id="18" w:name="_Hlk105172344"/>
      <w:r>
        <w:rPr>
          <w:rFonts w:hint="eastAsia" w:ascii="仿宋" w:hAnsi="仿宋" w:eastAsia="仿宋" w:cs="仿宋"/>
          <w:sz w:val="24"/>
          <w:szCs w:val="24"/>
          <w:highlight w:val="none"/>
        </w:rPr>
        <w:t xml:space="preserve">4、承包方式：包工包料。</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5、工程质量：合格（符合国家标准及行业要求，满足采购人需求），通过相关部门验收。</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6、工期：</w:t>
      </w:r>
      <w:r>
        <w:rPr>
          <w:rFonts w:ascii="仿宋" w:hAnsi="仿宋" w:eastAsia="仿宋" w:cs="仿宋"/>
          <w:sz w:val="24"/>
          <w:szCs w:val="24"/>
          <w:highlight w:val="none"/>
        </w:rPr>
        <w:t xml:space="preserve">60</w:t>
      </w:r>
      <w:r>
        <w:rPr>
          <w:rFonts w:hint="eastAsia" w:ascii="仿宋" w:hAnsi="仿宋" w:eastAsia="仿宋" w:cs="仿宋"/>
          <w:sz w:val="24"/>
          <w:szCs w:val="24"/>
          <w:highlight w:val="none"/>
        </w:rPr>
        <w:t xml:space="preserve">日历天（具体根据采购人要求）。</w:t>
      </w:r>
      <w:bookmarkEnd w:id="18"/>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7、现场踏勘：自行踏勘现场。</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7.1 供应商自行对施工现场进行踏勘，以获取编制响应文件所需的现场信息资料。</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7.2 供应商对本磋商文件所作出的理解、推论和解释由其自己负责。</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7.3 由于现场踏勘没有进行或者不详细所导致的一切问题均由供应商自行负责。</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7.4 供应商应承担现场踏勘的责任和风险，现场踏勘费用由供应商自己承担。成交后不得以未踏勘现场或不了解现场为由提出任何增加费用的要求。</w:t>
      </w:r>
      <w:bookmarkEnd w:id="17"/>
      <w:r/>
      <w:r/>
    </w:p>
    <w:p>
      <w:pPr>
        <w:pStyle w:val="127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四、工程量清单报价</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(一) 工程量清单以及图纸详见本项目磋商文件附件（后附）</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(二) 《已标价的工程量清单》报价要求</w:t>
      </w:r>
      <w:r/>
    </w:p>
    <w:p>
      <w:pPr>
        <w:pStyle w:val="1270"/>
        <w:ind w:firstLine="42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1、报价内容</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 响应报价应包括磋商文件中所确定的范围内工程量清单以及施工图中所含的全部内容，以及为完成上述内容所需的全部费用。</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注：供应商必须按采购人提供的工程量清单进行报价，否则视为对竞争性磋商文件商务条款的实质性偏离。供应商不得修改工程量清单中的分部分项内容及数量，否则视为不响应磋商文件。</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1.2 供应商应按采购人提供的工程量清单填报价格。填写的项目名称、项目特征、计量单位、工程量必须与采购人提供的一致。</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1.3 供应商应按采购人提供的工程量计算工程项目的单价和合价。工程量清单中的每一单项均需计算填写单价和合价，供应商没有填写单价和合价的项目将被认为此项费用已包括在工程量清单的其他单价和合价中。</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1.4 响应的供应商必须按统一的工程量清单报价，成交后，在施工过程中，不论由于工程量清单有误或漏项，还是由于设计变更、现场变更、签证引起的工程量清单项目或清单项目工程数量的增减，均按照实际发生的工程量调整。</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1.5 技术参数、项目实施方案所描述的技术措施所发生的费用，视为已体现在供应商报价的非实体性消耗所发生的费用中。</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1.6 供应商自行勘察，了解周边原有建筑、设施，事先视察工地，充分了解工程位置、邻近建筑物、工地情况，通路、储存空间、起卸限制、及任何其它足以影响报价之情况，供应商须按接收工地日的现况，接收工地及自费清理任何遗留在工地上之废物，施工过程中因工地特殊情况而引起二次搬运、安全防护等。供应商在响应报价时应考虑这样因素，并在响应报价中予以考虑，采购人不接受供应商关于此类费用的任何诉讼或索赔。</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1.7 安全文明施工是供应商的责任，采购人不接受任何由于供应商施工而导致的扰民或民扰引起的诉讼或索赔。供应商应在其响应报价时充分考虑因扰民与民扰而造成的工期影响与费用增加，在报价予以考虑，采购人不接受任何由于供应商考虑不周为由而提出的任何索赔。</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1.8由供应商负责办理相关建设、城管、市政、安全、环保等部门的手续，施工供应商在响应报价时应考虑这样因素，费用包含在报价中，采购人不接受供应商关于此类费用的任何诉讼或索赔。</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1.9 垃圾外运，在报价中综合考虑。</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1.10辅助工程部分：综合单价中应包括招标人提供的施工图所含内容，以及工程量清单报价中的价格，应包括完成清单项目的人工费、材料费、机械费、管理费及利润等费用。政策性文件规定及施工进程中包含的所有风险、责任等各项应有费用，并含相应的平整场地、地基处理调整等图纸及建设方要求的工程施工全部内容的全部费用。</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1.11地方关系协调费供应商自行考虑，就此项招标人不支付任何费用。</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1.12施工时需做好防护措施保证周边安全，因中标人保障不利对招标人或第三方造成损失的，赔偿责任全部由中标人承担，若因此会增加费用，控制价不计取，供应商自行考虑在报价中，结算时不予调整。</w:t>
      </w:r>
      <w:r/>
    </w:p>
    <w:p>
      <w:pPr>
        <w:pStyle w:val="1270"/>
        <w:ind w:firstLine="42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2、报价方式</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2.1 本工程采用固定单价合同（除另有规定外）。供应商应充分考虑施工期间各类建材的市场风险，并计入总报价，供应商在计算报价时应考虑一定的风险系数。</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2.2 材料风险约定：</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2.2.1 对于法律、法规、规章或有关政策出台导致工程税金、规费等发生变化的，应按照有关规定执行。</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2.2.2 本工程对材料风险约定如下：供应商应充分考虑施工期间各类建材的市场风险，充分考虑政策性关于人工、机械费用等方面调整，并计入总报价，供应商所填写的单价在合同实施期间不因市场变化因素而变动，结算不再调整。</w:t>
      </w:r>
      <w:r/>
    </w:p>
    <w:p>
      <w:pPr>
        <w:pStyle w:val="1270"/>
        <w:ind w:firstLine="42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3、报价的计价方法</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工程项目采用工程量清单计价。供应商应根据采购人提供的工程量清单计算工程项目的单价、合价。工程量清单中每一个子目和单项均需计算填写单价、合价。若供应商没有填写单价、合价的项目采购人将不予支付，并认为此项费用已包括在工程量清单的其它单价、合价中。</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4、报价编制依据及要求：详见工程量清单。</w:t>
      </w:r>
      <w:r/>
    </w:p>
    <w:p>
      <w:pPr>
        <w:pStyle w:val="1270"/>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五、低于成本报价：</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在评审过程中，评标委员会发现供应商的报价明显低于其他报价，使得其报价可能低于其个别成本的，应当要求该供应商作出书面说明并提供相关证明材料。供应商不能合理说明或者不能提供相关证明材料的，由评标委员会认定该供应商以低于成本报价，其响应文件应作无效响应文件处理。 </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评标委员会全体成员三分之二以上认为该供应商不能合理说明或者不能提供相关证明材料的，认定该供应商以低于成本报价，其响应文件应作无效响应文件处理。持有异议的评标委员会成员可以书面方式阐述其不同意见和理由，拒绝签字且不陈述其不同意见和理由的，视为同意。</w:t>
      </w:r>
      <w:r/>
    </w:p>
    <w:p>
      <w:pPr>
        <w:pStyle w:val="1270"/>
        <w:spacing w:line="360" w:lineRule="auto"/>
        <w:widowControl w:val="off"/>
        <w:rPr>
          <w:rFonts w:ascii="仿宋" w:hAnsi="仿宋" w:eastAsia="仿宋" w:cs="仿宋"/>
          <w:sz w:val="24"/>
          <w:szCs w:val="24"/>
          <w:highlight w:val="none"/>
        </w:rPr>
      </w:pPr>
      <w:r>
        <w:rPr>
          <w:rFonts w:hint="eastAsia" w:ascii="仿宋" w:hAnsi="仿宋" w:eastAsia="仿宋" w:cs="仿宋"/>
          <w:b/>
          <w:bCs/>
          <w:sz w:val="24"/>
          <w:szCs w:val="24"/>
          <w:highlight w:val="none"/>
        </w:rPr>
        <w:t xml:space="preserve">六、服务要求</w:t>
      </w:r>
      <w:r>
        <w:rPr>
          <w:rFonts w:hint="eastAsia" w:ascii="仿宋" w:hAnsi="仿宋" w:eastAsia="仿宋" w:cs="仿宋"/>
          <w:sz w:val="24"/>
          <w:szCs w:val="24"/>
          <w:highlight w:val="none"/>
        </w:rPr>
        <w:t xml:space="preserve">： </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1、质保及售后服务：本工程要求质保期按执行国家和地方现行标准、规范的相关规定，施工缺陷责任期至少24个月。质保期外，工程质量出现问题，成交供应商应主动提供维修方案，只收取材料费。 </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2、质保期内，如发生故障，采购人通知成交供应商服务人员时，相关服务人员要在</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小时内到达现场配合采购人处理问题，进行更换或进行必要的维修。 </w:t>
      </w:r>
      <w:r/>
    </w:p>
    <w:p>
      <w:pPr>
        <w:pStyle w:val="1270"/>
        <w:ind w:firstLine="42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3、供应商需根据本项目特征及自身情况编制施工方案。</w:t>
      </w:r>
      <w:r/>
    </w:p>
    <w:p>
      <w:pPr>
        <w:pStyle w:val="1270"/>
        <w:spacing w:line="360" w:lineRule="auto"/>
        <w:widowControl w:val="off"/>
        <w:rPr>
          <w:rStyle w:val="1312"/>
          <w:rFonts w:ascii="仿宋" w:hAnsi="仿宋" w:eastAsia="仿宋" w:cs="仿宋"/>
          <w:sz w:val="28"/>
          <w:highlight w:val="none"/>
        </w:rPr>
      </w:pPr>
      <w:r>
        <w:rPr>
          <w:rFonts w:hint="eastAsia" w:ascii="仿宋" w:hAnsi="仿宋" w:eastAsia="仿宋" w:cs="仿宋"/>
          <w:b/>
          <w:bCs/>
          <w:sz w:val="24"/>
          <w:szCs w:val="24"/>
          <w:highlight w:val="none"/>
        </w:rPr>
        <w:t xml:space="preserve">七、其他要求：</w:t>
      </w:r>
      <w:r>
        <w:rPr>
          <w:rFonts w:hint="eastAsia" w:ascii="仿宋" w:hAnsi="仿宋" w:eastAsia="仿宋" w:cs="仿宋"/>
          <w:sz w:val="24"/>
          <w:szCs w:val="24"/>
          <w:highlight w:val="none"/>
        </w:rPr>
        <w:t xml:space="preserve">见《磋商文件》附件《拟签订的合同文本》。</w:t>
      </w:r>
      <w:r>
        <w:rPr>
          <w:rStyle w:val="1312"/>
          <w:rFonts w:hint="eastAsia" w:ascii="仿宋" w:hAnsi="仿宋" w:eastAsia="仿宋" w:cs="仿宋"/>
          <w:sz w:val="28"/>
          <w:highlight w:val="none"/>
        </w:rPr>
        <w:br w:type="page" w:clear="all"/>
      </w:r>
      <w:bookmarkStart w:id="19" w:name="_Toc15789"/>
      <w:r/>
      <w:r/>
    </w:p>
    <w:p>
      <w:pPr>
        <w:pStyle w:val="1270"/>
        <w:jc w:val="center"/>
        <w:widowControl w:val="off"/>
        <w:rPr>
          <w:rStyle w:val="1312"/>
          <w:rFonts w:ascii="仿宋" w:hAnsi="仿宋" w:eastAsia="仿宋" w:cs="仿宋"/>
          <w:sz w:val="28"/>
          <w:highlight w:val="none"/>
        </w:rPr>
        <w:outlineLvl w:val="1"/>
      </w:pPr>
      <w:r>
        <w:rPr>
          <w:rStyle w:val="1312"/>
          <w:rFonts w:hint="eastAsia" w:ascii="仿宋" w:hAnsi="仿宋" w:eastAsia="仿宋" w:cs="仿宋"/>
          <w:b/>
          <w:bCs/>
          <w:sz w:val="28"/>
          <w:highlight w:val="none"/>
        </w:rPr>
        <w:t xml:space="preserve">3、</w:t>
      </w:r>
      <w:r>
        <w:rPr>
          <w:rStyle w:val="1312"/>
          <w:rFonts w:hint="eastAsia" w:ascii="仿宋" w:hAnsi="仿宋" w:eastAsia="仿宋" w:cs="仿宋"/>
          <w:b/>
          <w:bCs/>
          <w:sz w:val="28"/>
          <w:szCs w:val="21"/>
          <w:highlight w:val="none"/>
        </w:rPr>
        <w:t xml:space="preserve">磋商报价表</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项目名称：</w:t>
      </w:r>
      <w:r/>
    </w:p>
    <w:p>
      <w:pPr>
        <w:jc w:val="lef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项目编号：</w:t>
      </w:r>
      <w:r/>
    </w:p>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本次为首次报价</w:t>
      </w:r>
      <w:r/>
    </w:p>
    <w:p>
      <w:pPr>
        <w:jc w:val="right"/>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货币单位：人民币元</w:t>
      </w:r>
      <w:r/>
    </w:p>
    <w:tbl>
      <w:tblPr>
        <w:tblStyle w:val="1058"/>
        <w:tblW w:w="8941"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928"/>
        <w:gridCol w:w="1941"/>
        <w:gridCol w:w="3072"/>
      </w:tblGrid>
      <w:tr>
        <w:trPr>
          <w:cantSplit/>
          <w:jc w:val="center"/>
          <w:trHeight w:val="839"/>
        </w:trPr>
        <w:tc>
          <w:tcPr>
            <w:tcW w:w="392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项目名称</w:t>
            </w:r>
            <w:r/>
          </w:p>
        </w:tc>
        <w:tc>
          <w:tcPr>
            <w:tcW w:w="194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项目内容</w:t>
            </w:r>
            <w:r/>
          </w:p>
        </w:tc>
        <w:tc>
          <w:tcPr>
            <w:tcW w:w="3072"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总价（小写）</w:t>
            </w:r>
            <w:r/>
          </w:p>
        </w:tc>
      </w:tr>
      <w:tr>
        <w:trPr>
          <w:cantSplit/>
          <w:jc w:val="center"/>
          <w:trHeight w:val="1065" w:hRule="exact"/>
        </w:trPr>
        <w:tc>
          <w:tcPr>
            <w:tcW w:w="3928" w:type="dxa"/>
            <w:vAlign w:val="center"/>
            <w:textDirection w:val="lrTb"/>
            <w:noWrap w:val="false"/>
          </w:tcPr>
          <w:p>
            <w:pPr>
              <w:jc w:val="center"/>
              <w:rPr>
                <w:rFonts w:hint="eastAsia" w:ascii="宋体" w:hAnsi="宋体" w:eastAsia="宋体" w:cs="宋体"/>
                <w:b/>
                <w:bCs/>
                <w:color w:val="000000"/>
                <w:sz w:val="24"/>
                <w:highlight w:val="none"/>
                <w:lang w:eastAsia="zh-CN"/>
              </w:rPr>
            </w:pPr>
            <w:r>
              <w:rPr>
                <w:rFonts w:hint="eastAsia" w:ascii="宋体" w:hAnsi="宋体" w:cs="宋体"/>
                <w:b/>
                <w:bCs/>
                <w:color w:val="000000"/>
                <w:sz w:val="24"/>
                <w:highlight w:val="none"/>
              </w:rPr>
              <w:t xml:space="preserve"> </w:t>
            </w:r>
            <w:r>
              <w:rPr>
                <w:rFonts w:hint="eastAsia" w:ascii="宋体" w:hAnsi="宋体" w:cs="宋体"/>
                <w:b/>
                <w:bCs/>
                <w:color w:val="000000"/>
                <w:sz w:val="24"/>
                <w:highlight w:val="none"/>
                <w:lang w:eastAsia="zh-CN"/>
              </w:rPr>
              <w:t xml:space="preserve">巡特警支队训练场地整治项目</w:t>
            </w:r>
            <w:r/>
          </w:p>
        </w:tc>
        <w:tc>
          <w:tcPr>
            <w:tcW w:w="1941"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详见响应文件</w:t>
            </w:r>
            <w:r/>
          </w:p>
        </w:tc>
        <w:tc>
          <w:tcPr>
            <w:tcW w:w="3072" w:type="dxa"/>
            <w:vAlign w:val="center"/>
            <w:textDirection w:val="lrTb"/>
            <w:noWrap w:val="false"/>
          </w:tcPr>
          <w:p>
            <w:pPr>
              <w:jc w:val="center"/>
              <w:rPr>
                <w:rFonts w:ascii="宋体" w:hAnsi="宋体" w:cs="宋体"/>
                <w:b/>
                <w:bCs/>
                <w:color w:val="000000"/>
                <w:sz w:val="24"/>
                <w:highlight w:val="none"/>
              </w:rPr>
            </w:pPr>
            <w:r>
              <w:rPr>
                <w:rFonts w:ascii="宋体" w:hAnsi="宋体" w:cs="宋体"/>
                <w:b/>
                <w:bCs/>
                <w:color w:val="000000"/>
                <w:sz w:val="24"/>
                <w:highlight w:val="none"/>
              </w:rPr>
            </w:r>
            <w:r/>
          </w:p>
        </w:tc>
      </w:tr>
      <w:tr>
        <w:trPr>
          <w:cantSplit/>
          <w:jc w:val="center"/>
          <w:trHeight w:val="850" w:hRule="exact"/>
        </w:trPr>
        <w:tc>
          <w:tcPr>
            <w:tcW w:w="3928" w:type="dxa"/>
            <w:vAlign w:val="center"/>
            <w:textDirection w:val="lrTb"/>
            <w:noWrap w:val="false"/>
          </w:tcPr>
          <w:p>
            <w:pPr>
              <w:jc w:val="center"/>
              <w:rPr>
                <w:rFonts w:ascii="宋体" w:hAnsi="宋体" w:cs="宋体"/>
                <w:b/>
                <w:bCs/>
                <w:color w:val="000000"/>
                <w:sz w:val="24"/>
                <w:highlight w:val="none"/>
              </w:rPr>
            </w:pPr>
            <w:r>
              <w:rPr>
                <w:rFonts w:hint="eastAsia" w:ascii="宋体" w:hAnsi="宋体" w:cs="宋体"/>
                <w:b/>
                <w:bCs/>
                <w:color w:val="000000"/>
                <w:sz w:val="24"/>
                <w:highlight w:val="none"/>
              </w:rPr>
              <w:t xml:space="preserve">总价（大写）：</w:t>
            </w:r>
            <w:r/>
          </w:p>
        </w:tc>
        <w:tc>
          <w:tcPr>
            <w:gridSpan w:val="2"/>
            <w:tcW w:w="5013" w:type="dxa"/>
            <w:vAlign w:val="center"/>
            <w:textDirection w:val="lrTb"/>
            <w:noWrap w:val="false"/>
          </w:tcPr>
          <w:p>
            <w:pPr>
              <w:jc w:val="center"/>
              <w:rPr>
                <w:rFonts w:ascii="宋体" w:hAnsi="宋体" w:cs="宋体"/>
                <w:b/>
                <w:bCs/>
                <w:color w:val="000000"/>
                <w:sz w:val="24"/>
                <w:highlight w:val="none"/>
              </w:rPr>
            </w:pPr>
            <w:r>
              <w:rPr>
                <w:rFonts w:ascii="宋体" w:hAnsi="宋体" w:cs="宋体"/>
                <w:b/>
                <w:bCs/>
                <w:color w:val="000000"/>
                <w:sz w:val="24"/>
                <w:highlight w:val="none"/>
              </w:rPr>
            </w:r>
            <w:r/>
          </w:p>
        </w:tc>
      </w:tr>
    </w:tbl>
    <w:p>
      <w:pP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供应商承诺：本报价（总价）为供应商本企业提供的施工。</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报价说明：</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1、报价应包括磋商文件所确定的招标范围内工程量清单所含的全部内容，以及为完成上述内容所需的全部费用。</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2、报价以总价为准，大小写不一致以大写为准；</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3、偏离说明：详见《偏离表》；</w:t>
      </w:r>
      <w:r/>
    </w:p>
    <w:p>
      <w:pPr>
        <w:spacing w:line="520" w:lineRule="exact"/>
        <w:rPr>
          <w:rFonts w:ascii="宋体" w:hAnsi="宋体" w:cs="宋体"/>
          <w:color w:val="000000"/>
          <w:sz w:val="24"/>
          <w:highlight w:val="none"/>
        </w:rPr>
      </w:pPr>
      <w:r>
        <w:rPr>
          <w:rFonts w:hint="eastAsia" w:ascii="宋体" w:hAnsi="宋体" w:cs="宋体"/>
          <w:color w:val="000000"/>
          <w:sz w:val="24"/>
          <w:highlight w:val="none"/>
        </w:rPr>
        <w:t xml:space="preserve">4、如最后报价未列明单价，则最后所报各项单价计算方法为：（最后报价/最初报价）*各项最初报价的单价。</w:t>
      </w:r>
      <w:r/>
    </w:p>
    <w:p>
      <w:pPr>
        <w:spacing w:line="520" w:lineRule="exact"/>
        <w:rPr>
          <w:rFonts w:ascii="宋体" w:hAnsi="宋体" w:cs="宋体"/>
          <w:color w:val="000000"/>
          <w:sz w:val="24"/>
          <w:highlight w:val="none"/>
        </w:rPr>
      </w:pPr>
      <w:r>
        <w:rPr>
          <w:rFonts w:ascii="宋体" w:hAnsi="宋体" w:cs="宋体"/>
          <w:color w:val="000000"/>
          <w:sz w:val="24"/>
          <w:highlight w:val="none"/>
        </w:rPr>
      </w:r>
      <w:r/>
    </w:p>
    <w:p>
      <w:pPr>
        <w:ind w:firstLine="480"/>
        <w:spacing w:line="520" w:lineRule="exact"/>
        <w:rPr>
          <w:rFonts w:ascii="宋体" w:hAnsi="宋体" w:cs="宋体"/>
          <w:color w:val="000000"/>
          <w:sz w:val="24"/>
          <w:highlight w:val="none"/>
        </w:rPr>
      </w:pPr>
      <w:r>
        <w:rPr>
          <w:rFonts w:ascii="宋体" w:hAnsi="宋体" w:cs="宋体"/>
          <w:color w:val="000000"/>
          <w:sz w:val="24"/>
          <w:highlight w:val="none"/>
        </w:rPr>
      </w:r>
      <w:r/>
    </w:p>
    <w:p>
      <w:pPr>
        <w:ind w:right="29" w:firstLine="480"/>
        <w:jc w:val="center"/>
        <w:spacing w:line="520" w:lineRule="exact"/>
        <w:rPr>
          <w:rFonts w:ascii="宋体" w:hAnsi="宋体" w:cs="宋体"/>
          <w:b/>
          <w:bCs/>
          <w:color w:val="000000"/>
          <w:sz w:val="24"/>
          <w:highlight w:val="none"/>
        </w:rPr>
      </w:pPr>
      <w:r>
        <w:rPr>
          <w:rFonts w:hint="eastAsia" w:ascii="宋体" w:hAnsi="宋体" w:cs="宋体"/>
          <w:b/>
          <w:bCs/>
          <w:color w:val="000000"/>
          <w:sz w:val="24"/>
          <w:highlight w:val="none"/>
        </w:rPr>
        <w:t xml:space="preserve">                        供应商（电子签章）：</w:t>
      </w:r>
      <w:r/>
    </w:p>
    <w:p>
      <w:pPr>
        <w:ind w:right="29" w:firstLine="480"/>
        <w:jc w:val="right"/>
        <w:spacing w:line="520" w:lineRule="exact"/>
        <w:rPr>
          <w:rFonts w:ascii="宋体" w:hAnsi="宋体" w:cs="宋体"/>
          <w:b/>
          <w:bCs/>
          <w:color w:val="000000"/>
          <w:sz w:val="24"/>
          <w:highlight w:val="none"/>
        </w:rPr>
      </w:pPr>
      <w:r>
        <w:rPr>
          <w:rFonts w:ascii="宋体" w:hAnsi="宋体" w:cs="宋体"/>
          <w:b/>
          <w:bCs/>
          <w:color w:val="000000"/>
          <w:sz w:val="24"/>
          <w:highlight w:val="none"/>
        </w:rPr>
      </w:r>
      <w:r/>
    </w:p>
    <w:p>
      <w:pPr>
        <w:jc w:val="center"/>
        <w:rPr>
          <w:rStyle w:val="1312"/>
          <w:rFonts w:ascii="仿宋" w:hAnsi="仿宋" w:eastAsia="仿宋" w:cs="仿宋"/>
          <w:sz w:val="28"/>
          <w:highlight w:val="none"/>
        </w:rPr>
      </w:pPr>
      <w:r>
        <w:rPr>
          <w:rFonts w:hint="eastAsia" w:ascii="宋体" w:hAnsi="宋体" w:cs="宋体"/>
          <w:b/>
          <w:bCs/>
          <w:color w:val="000000"/>
          <w:sz w:val="24"/>
          <w:highlight w:val="none"/>
        </w:rPr>
        <w:t xml:space="preserve">                           日期：   年  月  日</w:t>
      </w:r>
      <w:r>
        <w:rPr>
          <w:rStyle w:val="1312"/>
          <w:rFonts w:hint="eastAsia" w:ascii="仿宋" w:hAnsi="仿宋" w:eastAsia="仿宋" w:cs="仿宋"/>
          <w:sz w:val="28"/>
          <w:highlight w:val="none"/>
        </w:rPr>
        <w:br w:type="page" w:clear="all"/>
      </w:r>
      <w:r/>
    </w:p>
    <w:p>
      <w:pPr>
        <w:pStyle w:val="1279"/>
        <w:jc w:val="center"/>
        <w:keepLines w:val="0"/>
        <w:keepNext w:val="0"/>
        <w:spacing w:before="0" w:after="0" w:line="400" w:lineRule="exact"/>
        <w:widowControl w:val="off"/>
        <w:rPr>
          <w:rFonts w:ascii="仿宋" w:hAnsi="仿宋" w:eastAsia="仿宋" w:cs="仿宋"/>
          <w:bCs w:val="0"/>
          <w:sz w:val="28"/>
          <w:szCs w:val="28"/>
          <w:highlight w:val="none"/>
        </w:rPr>
      </w:pPr>
      <w:r>
        <w:rPr>
          <w:rStyle w:val="1312"/>
          <w:rFonts w:hint="eastAsia" w:ascii="仿宋" w:hAnsi="仿宋" w:eastAsia="仿宋" w:cs="仿宋"/>
          <w:sz w:val="28"/>
          <w:szCs w:val="21"/>
          <w:highlight w:val="none"/>
        </w:rPr>
        <w:t xml:space="preserve">4、分项价格表</w:t>
      </w:r>
      <w:r/>
    </w:p>
    <w:p>
      <w:pPr>
        <w:pStyle w:val="1288"/>
        <w:jc w:val="center"/>
        <w:spacing w:after="0" w:line="360" w:lineRule="auto"/>
        <w:widowControl w:val="off"/>
        <w:rPr>
          <w:rFonts w:ascii="仿宋" w:hAnsi="仿宋" w:eastAsia="仿宋" w:cs="仿宋"/>
          <w:sz w:val="24"/>
          <w:szCs w:val="24"/>
          <w:highlight w:val="none"/>
        </w:rPr>
      </w:pPr>
      <w:r>
        <w:rPr>
          <w:rFonts w:ascii="仿宋" w:hAnsi="仿宋" w:eastAsia="仿宋" w:cs="仿宋"/>
          <w:sz w:val="24"/>
          <w:szCs w:val="24"/>
          <w:highlight w:val="none"/>
        </w:rPr>
      </w:r>
      <w:r/>
    </w:p>
    <w:p>
      <w:pPr>
        <w:pStyle w:val="1288"/>
        <w:jc w:val="center"/>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（具有已标价的工程量清单和报价表）</w:t>
      </w:r>
      <w:r/>
    </w:p>
    <w:p>
      <w:pPr>
        <w:pStyle w:val="1288"/>
        <w:spacing w:after="0" w:line="360" w:lineRule="auto"/>
        <w:widowControl w:val="off"/>
        <w:rPr>
          <w:rFonts w:ascii="仿宋" w:hAnsi="仿宋" w:eastAsia="仿宋" w:cs="仿宋"/>
          <w:sz w:val="24"/>
          <w:szCs w:val="24"/>
          <w:highlight w:val="none"/>
        </w:rPr>
      </w:pPr>
      <w:r>
        <w:rPr>
          <w:rFonts w:ascii="仿宋" w:hAnsi="仿宋" w:eastAsia="仿宋" w:cs="仿宋"/>
          <w:sz w:val="24"/>
          <w:szCs w:val="24"/>
          <w:highlight w:val="none"/>
        </w:rPr>
      </w:r>
      <w:r/>
    </w:p>
    <w:p>
      <w:pPr>
        <w:pStyle w:val="1288"/>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（本次为首次报价）</w:t>
      </w:r>
      <w:r/>
    </w:p>
    <w:p>
      <w:pPr>
        <w:pStyle w:val="1288"/>
        <w:spacing w:after="0"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rPr>
        <w:t xml:space="preserve">项目名称： </w:t>
      </w:r>
      <w:r>
        <w:rPr>
          <w:rFonts w:hint="eastAsia" w:ascii="仿宋" w:hAnsi="仿宋" w:eastAsia="仿宋" w:cs="仿宋"/>
          <w:sz w:val="24"/>
          <w:szCs w:val="24"/>
          <w:highlight w:val="none"/>
          <w:lang w:eastAsia="zh-CN"/>
        </w:rPr>
        <w:t xml:space="preserve">巡特警支队训练场地整治项目</w:t>
      </w:r>
      <w:r/>
    </w:p>
    <w:p>
      <w:pPr>
        <w:pStyle w:val="1288"/>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Style w:val="1312"/>
          <w:rFonts w:hint="eastAsia" w:ascii="仿宋" w:hAnsi="仿宋" w:eastAsia="仿宋" w:cs="仿宋"/>
          <w:sz w:val="24"/>
          <w:szCs w:val="24"/>
          <w:highlight w:val="none"/>
        </w:rPr>
        <w:t xml:space="preserve"> </w:t>
      </w:r>
      <w:r>
        <w:rPr>
          <w:rFonts w:hint="eastAsia" w:ascii="仿宋" w:hAnsi="仿宋" w:eastAsia="仿宋" w:cs="仿宋"/>
          <w:sz w:val="24"/>
          <w:szCs w:val="24"/>
          <w:highlight w:val="none"/>
        </w:rPr>
        <w:t xml:space="preserve"> </w:t>
      </w:r>
      <w:r/>
    </w:p>
    <w:p>
      <w:pPr>
        <w:pStyle w:val="1288"/>
        <w:spacing w:line="360" w:lineRule="auto"/>
        <w:widowControl w:val="off"/>
        <w:rPr>
          <w:rFonts w:ascii="仿宋" w:hAnsi="仿宋" w:eastAsia="仿宋" w:cs="仿宋"/>
          <w:highlight w:val="none"/>
        </w:rPr>
      </w:pPr>
      <w:r>
        <w:rPr>
          <w:rFonts w:ascii="仿宋" w:hAnsi="仿宋" w:eastAsia="仿宋" w:cs="仿宋"/>
          <w:highlight w:val="none"/>
        </w:rPr>
      </w:r>
      <w:r/>
    </w:p>
    <w:p>
      <w:pPr>
        <w:pStyle w:val="1093"/>
        <w:ind w:left="0"/>
        <w:jc w:val="center"/>
        <w:widowControl w:val="off"/>
        <w:rPr>
          <w:rFonts w:ascii="仿宋" w:hAnsi="仿宋" w:eastAsia="仿宋" w:cs="仿宋"/>
          <w:sz w:val="28"/>
          <w:szCs w:val="28"/>
          <w:highlight w:val="none"/>
        </w:rPr>
        <w:outlineLvl w:val="9"/>
      </w:pPr>
      <w:r>
        <w:rPr>
          <w:rFonts w:hint="eastAsia" w:ascii="仿宋" w:hAnsi="仿宋" w:eastAsia="仿宋" w:cs="仿宋"/>
          <w:sz w:val="28"/>
          <w:szCs w:val="28"/>
          <w:highlight w:val="none"/>
        </w:rPr>
        <w:t xml:space="preserve">根据工程量清单进行编制</w:t>
      </w:r>
      <w:r/>
    </w:p>
    <w:p>
      <w:pPr>
        <w:pStyle w:val="1095"/>
        <w:ind w:firstLine="400"/>
        <w:widowControl w:val="off"/>
        <w:rPr>
          <w:rFonts w:ascii="仿宋" w:hAnsi="仿宋" w:eastAsia="仿宋" w:cs="仿宋"/>
          <w:color w:val="auto"/>
          <w:highlight w:val="none"/>
        </w:rPr>
      </w:pPr>
      <w:r>
        <w:rPr>
          <w:rFonts w:ascii="仿宋" w:hAnsi="仿宋" w:eastAsia="仿宋" w:cs="仿宋"/>
          <w:color w:val="auto"/>
          <w:highlight w:val="none"/>
        </w:rPr>
      </w:r>
      <w:r/>
    </w:p>
    <w:p>
      <w:pPr>
        <w:pStyle w:val="1270"/>
        <w:widowControl w:val="off"/>
        <w:rPr>
          <w:rFonts w:ascii="仿宋" w:hAnsi="仿宋" w:eastAsia="仿宋" w:cs="仿宋"/>
          <w:highlight w:val="none"/>
        </w:rPr>
      </w:pPr>
      <w:r>
        <w:rPr>
          <w:rFonts w:ascii="仿宋" w:hAnsi="仿宋" w:eastAsia="仿宋" w:cs="仿宋"/>
          <w:highlight w:val="none"/>
        </w:rPr>
      </w:r>
      <w:r/>
    </w:p>
    <w:p>
      <w:pPr>
        <w:pStyle w:val="1095"/>
        <w:ind w:firstLine="400"/>
        <w:widowControl w:val="off"/>
        <w:rPr>
          <w:rFonts w:ascii="仿宋" w:hAnsi="仿宋" w:eastAsia="仿宋" w:cs="仿宋"/>
          <w:color w:val="auto"/>
          <w:highlight w:val="none"/>
        </w:rPr>
      </w:pPr>
      <w:r>
        <w:rPr>
          <w:rFonts w:ascii="仿宋" w:hAnsi="仿宋" w:eastAsia="仿宋" w:cs="仿宋"/>
          <w:color w:val="auto"/>
          <w:highlight w:val="none"/>
        </w:rPr>
      </w:r>
      <w:r/>
    </w:p>
    <w:p>
      <w:pPr>
        <w:pStyle w:val="1274"/>
        <w:ind w:left="0" w:right="0" w:firstLine="560"/>
        <w:widowControl w:val="off"/>
        <w:rPr>
          <w:rFonts w:ascii="仿宋" w:hAnsi="仿宋" w:eastAsia="仿宋" w:cs="仿宋"/>
          <w:highlight w:val="none"/>
        </w:rPr>
      </w:pPr>
      <w:r>
        <w:rPr>
          <w:rFonts w:ascii="仿宋" w:hAnsi="仿宋" w:eastAsia="仿宋" w:cs="仿宋"/>
          <w:highlight w:val="none"/>
        </w:rPr>
      </w:r>
      <w:r/>
    </w:p>
    <w:p>
      <w:pPr>
        <w:pStyle w:val="1288"/>
        <w:spacing w:line="360" w:lineRule="auto"/>
        <w:widowControl w:val="off"/>
        <w:rPr>
          <w:rFonts w:ascii="仿宋" w:hAnsi="仿宋" w:eastAsia="仿宋" w:cs="仿宋"/>
          <w:highlight w:val="none"/>
        </w:rPr>
      </w:pPr>
      <w:r>
        <w:rPr>
          <w:rFonts w:hint="eastAsia" w:ascii="仿宋" w:hAnsi="仿宋" w:eastAsia="仿宋" w:cs="仿宋"/>
          <w:highlight w:val="none"/>
        </w:rPr>
        <w:t xml:space="preserve">                           </w:t>
      </w:r>
      <w:r/>
    </w:p>
    <w:p>
      <w:pPr>
        <w:pStyle w:val="127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szCs w:val="21"/>
          <w:highlight w:val="none"/>
        </w:rPr>
        <w:t xml:space="preserve">供应商</w:t>
      </w:r>
      <w:r>
        <w:rPr>
          <w:rFonts w:hint="eastAsia" w:ascii="仿宋" w:hAnsi="仿宋" w:eastAsia="仿宋" w:cs="仿宋"/>
          <w:sz w:val="24"/>
          <w:highlight w:val="none"/>
        </w:rPr>
        <w:t xml:space="preserve">（</w:t>
      </w:r>
      <w:r>
        <w:rPr>
          <w:rStyle w:val="1312"/>
          <w:rFonts w:hint="eastAsia" w:ascii="仿宋" w:hAnsi="仿宋" w:eastAsia="仿宋" w:cs="仿宋"/>
          <w:sz w:val="24"/>
          <w:szCs w:val="24"/>
          <w:highlight w:val="none"/>
        </w:rPr>
        <w:t xml:space="preserve">电子签章</w:t>
      </w:r>
      <w:r>
        <w:rPr>
          <w:rFonts w:hint="eastAsia" w:ascii="仿宋" w:hAnsi="仿宋" w:eastAsia="仿宋" w:cs="仿宋"/>
          <w:sz w:val="24"/>
          <w:highlight w:val="none"/>
        </w:rPr>
        <w:t xml:space="preserve">）</w:t>
      </w:r>
      <w:r>
        <w:rPr>
          <w:rStyle w:val="1312"/>
          <w:rFonts w:hint="eastAsia" w:ascii="仿宋" w:hAnsi="仿宋" w:eastAsia="仿宋" w:cs="仿宋"/>
          <w:sz w:val="24"/>
          <w:szCs w:val="21"/>
          <w:highlight w:val="none"/>
        </w:rPr>
        <w:t xml:space="preserve">：</w:t>
      </w:r>
      <w:r/>
    </w:p>
    <w:p>
      <w:pPr>
        <w:pStyle w:val="127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szCs w:val="21"/>
          <w:highlight w:val="none"/>
        </w:rPr>
        <w:t xml:space="preserve">法定代表人或授权代表（签字或盖章）：  </w:t>
      </w:r>
      <w:r/>
    </w:p>
    <w:p>
      <w:pPr>
        <w:pStyle w:val="127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szCs w:val="21"/>
          <w:highlight w:val="none"/>
        </w:rPr>
        <w:t xml:space="preserve">日期：</w:t>
      </w:r>
      <w:r/>
    </w:p>
    <w:p>
      <w:pPr>
        <w:pStyle w:val="1288"/>
        <w:spacing w:line="360" w:lineRule="auto"/>
        <w:widowControl w:val="off"/>
        <w:rPr>
          <w:rFonts w:ascii="仿宋" w:hAnsi="仿宋" w:eastAsia="仿宋" w:cs="仿宋"/>
          <w:highlight w:val="none"/>
        </w:rPr>
      </w:pPr>
      <w:r>
        <w:rPr>
          <w:rFonts w:ascii="仿宋" w:hAnsi="仿宋" w:eastAsia="仿宋" w:cs="仿宋"/>
          <w:highlight w:val="none"/>
        </w:rPr>
      </w:r>
      <w:r/>
    </w:p>
    <w:p>
      <w:pPr>
        <w:pStyle w:val="1288"/>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w:t>
      </w:r>
      <w:r/>
    </w:p>
    <w:p>
      <w:pPr>
        <w:pStyle w:val="1288"/>
        <w:ind w:firstLine="480"/>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1．如果不提供详细分项报价将视为没有实质性响应磋商文件。</w:t>
      </w:r>
      <w:r/>
    </w:p>
    <w:p>
      <w:pPr>
        <w:pStyle w:val="1288"/>
        <w:ind w:firstLine="480"/>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2．供应商对以上数据的真实性负责。</w:t>
      </w:r>
      <w:r/>
    </w:p>
    <w:p>
      <w:pPr>
        <w:pStyle w:val="1288"/>
        <w:ind w:firstLine="480"/>
        <w:spacing w:after="0"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3. </w:t>
      </w:r>
      <w:r>
        <w:rPr>
          <w:rFonts w:hint="eastAsia" w:ascii="仿宋" w:hAnsi="仿宋" w:eastAsia="仿宋" w:cs="仿宋"/>
          <w:sz w:val="24"/>
          <w:highlight w:val="none"/>
        </w:rPr>
        <w:t xml:space="preserve">如果按单价计算的结果与总价不一致，以总价为准。</w:t>
      </w:r>
      <w:r/>
    </w:p>
    <w:p>
      <w:pPr>
        <w:pStyle w:val="1288"/>
        <w:ind w:firstLine="480"/>
        <w:spacing w:after="0" w:line="360" w:lineRule="auto"/>
        <w:widowControl w:val="off"/>
        <w:rPr>
          <w:rFonts w:ascii="仿宋" w:hAnsi="仿宋" w:eastAsia="仿宋" w:cs="仿宋"/>
          <w:b/>
          <w:i/>
          <w:sz w:val="24"/>
          <w:szCs w:val="24"/>
          <w:highlight w:val="none"/>
          <w:u w:val="single"/>
        </w:rPr>
      </w:pPr>
      <w:r>
        <w:rPr>
          <w:rFonts w:hint="eastAsia" w:ascii="仿宋" w:hAnsi="仿宋" w:eastAsia="仿宋" w:cs="仿宋"/>
          <w:b/>
          <w:i/>
          <w:sz w:val="24"/>
          <w:szCs w:val="24"/>
          <w:highlight w:val="none"/>
          <w:u w:val="single"/>
        </w:rPr>
        <w:t xml:space="preserve">采购人或采购代理机构有权将以上内容进行公示。</w:t>
      </w:r>
      <w:r/>
    </w:p>
    <w:p>
      <w:pPr>
        <w:pStyle w:val="1270"/>
        <w:jc w:val="center"/>
        <w:rPr>
          <w:rFonts w:ascii="仿宋" w:hAnsi="仿宋" w:eastAsia="仿宋" w:cs="仿宋"/>
          <w:sz w:val="24"/>
          <w:szCs w:val="24"/>
          <w:highlight w:val="none"/>
        </w:rPr>
      </w:pPr>
      <w:r>
        <w:rPr>
          <w:rStyle w:val="1312"/>
          <w:rFonts w:hint="eastAsia" w:ascii="仿宋" w:hAnsi="仿宋" w:eastAsia="仿宋" w:cs="仿宋"/>
          <w:sz w:val="28"/>
          <w:highlight w:val="none"/>
        </w:rPr>
        <w:br w:type="page" w:clear="all"/>
      </w:r>
      <w:r>
        <w:rPr>
          <w:rFonts w:hint="eastAsia" w:ascii="仿宋" w:hAnsi="仿宋" w:eastAsia="仿宋" w:cs="仿宋"/>
          <w:b/>
          <w:bCs/>
          <w:sz w:val="36"/>
          <w:highlight w:val="none"/>
        </w:rPr>
        <w:t xml:space="preserve">5、主要材料（设备）一览表</w:t>
      </w:r>
      <w:r/>
    </w:p>
    <w:p>
      <w:pPr>
        <w:jc w:val="left"/>
        <w:spacing w:line="0" w:lineRule="atLeast"/>
        <w:rPr>
          <w:rFonts w:ascii="仿宋" w:hAnsi="仿宋" w:eastAsia="仿宋" w:cs="仿宋"/>
          <w:sz w:val="24"/>
          <w:szCs w:val="24"/>
          <w:highlight w:val="none"/>
        </w:rPr>
      </w:pPr>
      <w:r>
        <w:rPr>
          <w:rFonts w:hint="eastAsia" w:ascii="仿宋" w:hAnsi="仿宋" w:eastAsia="仿宋" w:cs="仿宋"/>
          <w:sz w:val="24"/>
          <w:szCs w:val="24"/>
          <w:highlight w:val="none"/>
        </w:rPr>
        <w:t xml:space="preserve">项目编号：</w:t>
      </w:r>
      <w:r>
        <w:rPr>
          <w:rStyle w:val="1312"/>
          <w:rFonts w:hint="eastAsia" w:ascii="仿宋" w:hAnsi="仿宋" w:eastAsia="仿宋" w:cs="仿宋"/>
          <w:sz w:val="24"/>
          <w:szCs w:val="24"/>
          <w:highlight w:val="none"/>
        </w:rPr>
        <w:t xml:space="preserve"> </w:t>
      </w:r>
      <w:r/>
    </w:p>
    <w:tbl>
      <w:tblPr>
        <w:tblStyle w:val="1058"/>
        <w:tblpPr w:horzAnchor="page" w:tblpX="984" w:vertAnchor="text" w:tblpY="1155" w:leftFromText="180" w:topFromText="0" w:rightFromText="180" w:bottomFromText="0"/>
        <w:tblW w:w="982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545"/>
        <w:gridCol w:w="1050"/>
        <w:gridCol w:w="1876"/>
        <w:gridCol w:w="927"/>
        <w:gridCol w:w="1330"/>
        <w:gridCol w:w="1891"/>
        <w:gridCol w:w="978"/>
        <w:gridCol w:w="1224"/>
      </w:tblGrid>
      <w:tr>
        <w:trPr>
          <w:trHeight w:val="583"/>
        </w:trPr>
        <w:tc>
          <w:tcPr>
            <w:tcMar>
              <w:left w:w="15" w:type="dxa"/>
              <w:top w:w="15" w:type="dxa"/>
              <w:right w:w="15" w:type="dxa"/>
              <w:bottom w:w="0" w:type="dxa"/>
            </w:tcMar>
            <w:tcW w:w="545"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序号</w:t>
            </w:r>
            <w:r/>
          </w:p>
        </w:tc>
        <w:tc>
          <w:tcPr>
            <w:tcMar>
              <w:left w:w="15" w:type="dxa"/>
              <w:top w:w="15" w:type="dxa"/>
              <w:right w:w="15" w:type="dxa"/>
              <w:bottom w:w="0" w:type="dxa"/>
            </w:tcMar>
            <w:tcW w:w="1050"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材料编码</w:t>
            </w:r>
            <w:r/>
          </w:p>
        </w:tc>
        <w:tc>
          <w:tcPr>
            <w:tcMar>
              <w:left w:w="15" w:type="dxa"/>
              <w:top w:w="15" w:type="dxa"/>
              <w:right w:w="15" w:type="dxa"/>
              <w:bottom w:w="0" w:type="dxa"/>
            </w:tcMar>
            <w:tcW w:w="1876"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材料（设备）  名称</w:t>
            </w:r>
            <w:r/>
          </w:p>
        </w:tc>
        <w:tc>
          <w:tcPr>
            <w:tcMar>
              <w:left w:w="15" w:type="dxa"/>
              <w:top w:w="15" w:type="dxa"/>
              <w:right w:w="15" w:type="dxa"/>
              <w:bottom w:w="0" w:type="dxa"/>
            </w:tcMar>
            <w:tcW w:w="927"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品牌</w:t>
            </w:r>
            <w:r/>
          </w:p>
        </w:tc>
        <w:tc>
          <w:tcPr>
            <w:tcMar>
              <w:left w:w="15" w:type="dxa"/>
              <w:top w:w="15" w:type="dxa"/>
              <w:right w:w="15" w:type="dxa"/>
              <w:bottom w:w="0" w:type="dxa"/>
            </w:tcMar>
            <w:tcW w:w="1330"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规格、 型号</w:t>
            </w:r>
            <w:r/>
          </w:p>
        </w:tc>
        <w:tc>
          <w:tcPr>
            <w:tcMar>
              <w:left w:w="15" w:type="dxa"/>
              <w:top w:w="15" w:type="dxa"/>
              <w:right w:w="15" w:type="dxa"/>
              <w:bottom w:w="0" w:type="dxa"/>
            </w:tcMar>
            <w:tcW w:w="1891"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产品制造企业名称</w:t>
            </w:r>
            <w:r/>
          </w:p>
        </w:tc>
        <w:tc>
          <w:tcPr>
            <w:tcMar>
              <w:left w:w="15" w:type="dxa"/>
              <w:top w:w="15" w:type="dxa"/>
              <w:right w:w="15" w:type="dxa"/>
              <w:bottom w:w="0" w:type="dxa"/>
            </w:tcMar>
            <w:tcW w:w="978"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单位</w:t>
            </w:r>
            <w:r/>
          </w:p>
        </w:tc>
        <w:tc>
          <w:tcPr>
            <w:tcMar>
              <w:left w:w="15" w:type="dxa"/>
              <w:top w:w="15" w:type="dxa"/>
              <w:right w:w="15" w:type="dxa"/>
              <w:bottom w:w="0" w:type="dxa"/>
            </w:tcMar>
            <w:tcW w:w="1224" w:type="dxa"/>
            <w:vAlign w:val="center"/>
            <w:textDirection w:val="lrTb"/>
            <w:noWrap w:val="false"/>
          </w:tcPr>
          <w:p>
            <w:pPr>
              <w:jc w:val="center"/>
              <w:spacing w:line="360" w:lineRule="auto"/>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备注</w:t>
            </w:r>
            <w:r/>
          </w:p>
        </w:tc>
      </w:tr>
      <w:tr>
        <w:trPr>
          <w:trHeight w:val="300"/>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14"/>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322"/>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5</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r>
        <w:trPr>
          <w:trHeight w:val="285"/>
        </w:trPr>
        <w:tc>
          <w:tcPr>
            <w:tcMar>
              <w:left w:w="15" w:type="dxa"/>
              <w:top w:w="15" w:type="dxa"/>
              <w:right w:w="15" w:type="dxa"/>
              <w:bottom w:w="0" w:type="dxa"/>
            </w:tcMar>
            <w:tcW w:w="545" w:type="dxa"/>
            <w:vAlign w:val="bottom"/>
            <w:textDirection w:val="lrTb"/>
            <w:noWrap w:val="false"/>
          </w:tcPr>
          <w:p>
            <w:pPr>
              <w:jc w:val="cente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w:t>
            </w:r>
            <w:r/>
          </w:p>
        </w:tc>
        <w:tc>
          <w:tcPr>
            <w:tcMar>
              <w:left w:w="15" w:type="dxa"/>
              <w:top w:w="15" w:type="dxa"/>
              <w:right w:w="15" w:type="dxa"/>
              <w:bottom w:w="0" w:type="dxa"/>
            </w:tcMar>
            <w:tcW w:w="105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76"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27"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330"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891" w:type="dxa"/>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978"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c>
          <w:tcPr>
            <w:tcMar>
              <w:left w:w="15" w:type="dxa"/>
              <w:top w:w="15" w:type="dxa"/>
              <w:right w:w="15" w:type="dxa"/>
              <w:bottom w:w="0" w:type="dxa"/>
            </w:tcMar>
            <w:tcW w:w="1224" w:type="dxa"/>
            <w:vAlign w:val="bottom"/>
            <w:textDirection w:val="lrTb"/>
            <w:noWrap w:val="false"/>
          </w:tcPr>
          <w:p>
            <w:pPr>
              <w:jc w:val="cente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tc>
      </w:tr>
    </w:tbl>
    <w:p>
      <w:pPr>
        <w:jc w:val="left"/>
        <w:spacing w:line="0" w:lineRule="atLeast"/>
        <w:rPr>
          <w:rFonts w:ascii="仿宋" w:hAnsi="仿宋" w:eastAsia="仿宋" w:cs="仿宋"/>
          <w:sz w:val="24"/>
          <w:szCs w:val="24"/>
          <w:highlight w:val="none"/>
        </w:rPr>
      </w:pPr>
      <w:r>
        <w:rPr>
          <w:rFonts w:hint="eastAsia" w:ascii="仿宋" w:hAnsi="仿宋" w:eastAsia="仿宋" w:cs="仿宋"/>
          <w:sz w:val="24"/>
          <w:szCs w:val="24"/>
          <w:highlight w:val="none"/>
        </w:rPr>
        <w:t xml:space="preserve">项目名称：</w:t>
      </w:r>
      <w:r>
        <w:rPr>
          <w:rStyle w:val="1312"/>
          <w:rFonts w:hint="eastAsia" w:ascii="仿宋" w:hAnsi="仿宋" w:eastAsia="仿宋" w:cs="仿宋"/>
          <w:sz w:val="24"/>
          <w:highlight w:val="none"/>
        </w:rPr>
        <w:t xml:space="preserve">巡特警支队训练场地整治项目</w:t>
      </w:r>
      <w:r/>
    </w:p>
    <w:p>
      <w:pPr>
        <w:rPr>
          <w:rFonts w:ascii="仿宋" w:hAnsi="仿宋" w:eastAsia="仿宋" w:cs="仿宋"/>
          <w:sz w:val="24"/>
          <w:szCs w:val="24"/>
          <w:highlight w:val="none"/>
        </w:rPr>
      </w:pPr>
      <w:r>
        <w:rPr>
          <w:rFonts w:ascii="仿宋" w:hAnsi="仿宋" w:eastAsia="仿宋" w:cs="仿宋"/>
          <w:sz w:val="24"/>
          <w:szCs w:val="24"/>
          <w:highlight w:val="none"/>
        </w:rPr>
      </w:r>
      <w:r/>
    </w:p>
    <w:p>
      <w:pPr>
        <w:rPr>
          <w:rFonts w:ascii="仿宋" w:hAnsi="仿宋" w:eastAsia="仿宋" w:cs="仿宋"/>
          <w:sz w:val="24"/>
          <w:szCs w:val="24"/>
          <w:highlight w:val="none"/>
        </w:rPr>
      </w:pPr>
      <w:r>
        <w:rPr>
          <w:rFonts w:ascii="仿宋" w:hAnsi="仿宋" w:eastAsia="仿宋" w:cs="仿宋"/>
          <w:sz w:val="24"/>
          <w:szCs w:val="24"/>
          <w:highlight w:val="none"/>
        </w:rPr>
      </w:r>
      <w:r/>
    </w:p>
    <w:p>
      <w:pPr>
        <w:spacing w:line="520" w:lineRule="exact"/>
        <w:rPr>
          <w:rFonts w:ascii="仿宋" w:hAnsi="仿宋" w:eastAsia="仿宋" w:cs="仿宋"/>
          <w:sz w:val="24"/>
          <w:szCs w:val="24"/>
          <w:highlight w:val="none"/>
        </w:rPr>
      </w:pPr>
      <w:r>
        <w:rPr>
          <w:rFonts w:ascii="仿宋" w:hAnsi="仿宋" w:eastAsia="仿宋" w:cs="仿宋"/>
          <w:sz w:val="24"/>
          <w:szCs w:val="24"/>
          <w:highlight w:val="none"/>
        </w:rPr>
      </w:r>
      <w:r/>
    </w:p>
    <w:p>
      <w:pPr>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供应商（</w:t>
      </w:r>
      <w:r>
        <w:rPr>
          <w:rFonts w:hint="eastAsia" w:ascii="仿宋" w:hAnsi="仿宋" w:eastAsia="仿宋" w:cs="仿宋"/>
          <w:sz w:val="24"/>
          <w:highlight w:val="none"/>
        </w:rPr>
        <w:t xml:space="preserve">电子签章</w:t>
      </w:r>
      <w:r>
        <w:rPr>
          <w:rFonts w:hint="eastAsia" w:ascii="仿宋" w:hAnsi="仿宋" w:eastAsia="仿宋" w:cs="仿宋"/>
          <w:sz w:val="24"/>
          <w:szCs w:val="24"/>
          <w:highlight w:val="none"/>
        </w:rPr>
        <w:t xml:space="preserve">）：</w:t>
      </w:r>
      <w:r/>
    </w:p>
    <w:p>
      <w:pPr>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法定代表人(负责人)或授权代表（签字或盖章）：  </w:t>
      </w:r>
      <w:r/>
    </w:p>
    <w:p>
      <w:pPr>
        <w:spacing w:line="52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日期： 年  月  日</w:t>
      </w:r>
      <w:r/>
    </w:p>
    <w:p>
      <w:pPr>
        <w:spacing w:line="520" w:lineRule="exact"/>
        <w:rPr>
          <w:rFonts w:ascii="仿宋" w:hAnsi="仿宋" w:eastAsia="仿宋" w:cs="仿宋"/>
          <w:sz w:val="30"/>
          <w:szCs w:val="30"/>
          <w:highlight w:val="none"/>
        </w:rPr>
      </w:pPr>
      <w:r>
        <w:rPr>
          <w:rFonts w:ascii="仿宋" w:hAnsi="仿宋" w:eastAsia="仿宋" w:cs="仿宋"/>
          <w:sz w:val="30"/>
          <w:szCs w:val="30"/>
          <w:highlight w:val="none"/>
        </w:rPr>
      </w:r>
      <w:r/>
    </w:p>
    <w:p>
      <w:pPr>
        <w:spacing w:line="52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注：1、如果不提供《主要材料（设备）一览表》将视为没有实质性响应。</w:t>
      </w:r>
      <w:r/>
    </w:p>
    <w:p>
      <w:pPr>
        <w:ind w:firstLine="480"/>
        <w:spacing w:line="52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2、响应供应商对以上数据的真实性负责。</w:t>
      </w:r>
      <w:r/>
    </w:p>
    <w:p>
      <w:pPr>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jc w:val="center"/>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u w:val="single"/>
        </w:rPr>
        <w:t xml:space="preserve">采购人或采购代理机构有权将以上内容进行公示</w:t>
      </w:r>
      <w:r>
        <w:rPr>
          <w:rFonts w:hint="eastAsia" w:ascii="仿宋" w:hAnsi="仿宋" w:eastAsia="仿宋" w:cs="仿宋"/>
          <w:b/>
          <w:bCs/>
          <w:sz w:val="24"/>
          <w:szCs w:val="24"/>
          <w:highlight w:val="none"/>
        </w:rPr>
        <w:t xml:space="preserve">。</w:t>
      </w:r>
      <w:r/>
    </w:p>
    <w:p>
      <w:pPr>
        <w:ind w:left="420" w:right="33"/>
        <w:jc w:val="left"/>
        <w:widowControl w:val="off"/>
        <w:rPr>
          <w:rFonts w:ascii="仿宋" w:hAnsi="仿宋" w:eastAsia="仿宋" w:cs="仿宋"/>
          <w:b/>
          <w:bCs/>
          <w:sz w:val="24"/>
          <w:szCs w:val="24"/>
          <w:highlight w:val="none"/>
        </w:rPr>
      </w:pPr>
      <w:r>
        <w:rPr>
          <w:rFonts w:ascii="仿宋" w:hAnsi="仿宋" w:eastAsia="仿宋" w:cs="仿宋"/>
          <w:b/>
          <w:bCs/>
          <w:sz w:val="24"/>
          <w:szCs w:val="24"/>
          <w:highlight w:val="none"/>
        </w:rPr>
      </w:r>
      <w:r/>
    </w:p>
    <w:p>
      <w:pPr>
        <w:rPr>
          <w:rStyle w:val="1312"/>
          <w:rFonts w:ascii="仿宋" w:hAnsi="仿宋" w:eastAsia="仿宋" w:cs="仿宋"/>
          <w:sz w:val="28"/>
          <w:highlight w:val="none"/>
        </w:rPr>
      </w:pPr>
      <w:r>
        <w:rPr>
          <w:rStyle w:val="1312"/>
          <w:rFonts w:hint="eastAsia" w:ascii="仿宋" w:hAnsi="仿宋" w:eastAsia="仿宋" w:cs="仿宋"/>
          <w:sz w:val="28"/>
          <w:highlight w:val="none"/>
        </w:rPr>
        <w:br w:type="page" w:clear="all"/>
      </w:r>
      <w:r/>
    </w:p>
    <w:p>
      <w:pPr>
        <w:pStyle w:val="1270"/>
        <w:jc w:val="center"/>
        <w:spacing w:line="360" w:lineRule="auto"/>
        <w:widowControl w:val="off"/>
        <w:rPr>
          <w:rStyle w:val="1312"/>
          <w:rFonts w:ascii="仿宋" w:hAnsi="仿宋" w:eastAsia="仿宋" w:cs="仿宋"/>
          <w:sz w:val="24"/>
          <w:highlight w:val="none"/>
        </w:rPr>
        <w:outlineLvl w:val="1"/>
      </w:pPr>
      <w:r>
        <w:rPr>
          <w:rStyle w:val="1312"/>
          <w:rFonts w:hint="eastAsia" w:ascii="仿宋" w:hAnsi="仿宋" w:eastAsia="仿宋" w:cs="仿宋"/>
          <w:b/>
          <w:bCs/>
          <w:sz w:val="28"/>
          <w:szCs w:val="32"/>
          <w:highlight w:val="none"/>
        </w:rPr>
        <w:t xml:space="preserve">6、偏离表</w:t>
      </w:r>
      <w:r/>
    </w:p>
    <w:p>
      <w:pPr>
        <w:pStyle w:val="127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项目名称：巡特警支队训练场地整治项目</w:t>
      </w:r>
      <w:r/>
    </w:p>
    <w:p>
      <w:pPr>
        <w:pStyle w:val="127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项目编号：</w:t>
      </w:r>
      <w:r>
        <w:rPr>
          <w:rStyle w:val="1312"/>
          <w:rFonts w:hint="eastAsia" w:ascii="仿宋" w:hAnsi="仿宋" w:eastAsia="仿宋" w:cs="仿宋"/>
          <w:sz w:val="24"/>
          <w:szCs w:val="24"/>
          <w:highlight w:val="none"/>
        </w:rPr>
        <w:t xml:space="preserve"> </w:t>
      </w:r>
      <w:r>
        <w:rPr>
          <w:rStyle w:val="1312"/>
          <w:rFonts w:hint="eastAsia" w:ascii="仿宋" w:hAnsi="仿宋" w:eastAsia="仿宋" w:cs="仿宋"/>
          <w:sz w:val="24"/>
          <w:highlight w:val="none"/>
        </w:rPr>
        <w:t xml:space="preserve"> </w:t>
      </w:r>
      <w:r/>
    </w:p>
    <w:tbl>
      <w:tblPr>
        <w:tblStyle w:val="1058"/>
        <w:tblW w:w="8928" w:type="dxa"/>
        <w:jc w:val="center"/>
        <w:tblLayout w:type="fixed"/>
        <w:tblCellMar>
          <w:left w:w="0" w:type="dxa"/>
          <w:top w:w="0" w:type="dxa"/>
          <w:right w:w="0" w:type="dxa"/>
          <w:bottom w:w="0" w:type="dxa"/>
        </w:tblCellMar>
        <w:tblLook w:val="04A0" w:firstRow="1" w:lastRow="0" w:firstColumn="1" w:lastColumn="0" w:noHBand="0" w:noVBand="1"/>
      </w:tblPr>
      <w:tblGrid>
        <w:gridCol w:w="828"/>
        <w:gridCol w:w="900"/>
        <w:gridCol w:w="2340"/>
        <w:gridCol w:w="1620"/>
        <w:gridCol w:w="1260"/>
        <w:gridCol w:w="1980"/>
      </w:tblGrid>
      <w:tr>
        <w:trPr>
          <w:jc w:val="cente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Style w:val="1312"/>
                <w:rFonts w:hint="eastAsia" w:ascii="仿宋" w:hAnsi="仿宋" w:eastAsia="仿宋" w:cs="仿宋"/>
                <w:caps/>
                <w:sz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Style w:val="1312"/>
                <w:rFonts w:hint="eastAsia" w:ascii="仿宋" w:hAnsi="仿宋" w:eastAsia="仿宋" w:cs="仿宋"/>
                <w:caps/>
                <w:sz w:val="24"/>
                <w:highlight w:val="none"/>
              </w:rPr>
              <w:t xml:space="preserve">偏离内容</w:t>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Style w:val="1312"/>
                <w:rFonts w:hint="eastAsia" w:ascii="仿宋" w:hAnsi="仿宋" w:eastAsia="仿宋" w:cs="仿宋"/>
                <w:sz w:val="24"/>
                <w:highlight w:val="none"/>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Style w:val="1312"/>
                <w:rFonts w:hint="eastAsia" w:ascii="仿宋" w:hAnsi="仿宋" w:eastAsia="仿宋" w:cs="仿宋"/>
                <w:sz w:val="24"/>
                <w:highlight w:val="none"/>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70"/>
              <w:jc w:val="left"/>
              <w:spacing w:line="400" w:lineRule="exact"/>
              <w:widowControl w:val="off"/>
              <w:rPr>
                <w:rStyle w:val="1312"/>
                <w:rFonts w:ascii="仿宋" w:hAnsi="仿宋" w:eastAsia="仿宋" w:cs="仿宋"/>
                <w:caps/>
                <w:sz w:val="24"/>
                <w:highlight w:val="none"/>
              </w:rPr>
            </w:pPr>
            <w:r>
              <w:rPr>
                <w:rStyle w:val="1312"/>
                <w:rFonts w:hint="eastAsia" w:ascii="仿宋" w:hAnsi="仿宋" w:eastAsia="仿宋" w:cs="仿宋"/>
                <w:caps/>
                <w:sz w:val="24"/>
                <w:highlight w:val="none"/>
              </w:rPr>
              <w:t xml:space="preserve">（正/负/无）偏离</w:t>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Style w:val="1312"/>
                <w:rFonts w:hint="eastAsia" w:ascii="仿宋" w:hAnsi="仿宋" w:eastAsia="仿宋" w:cs="仿宋"/>
                <w:caps/>
                <w:sz w:val="24"/>
                <w:highlight w:val="none"/>
              </w:rPr>
              <w:t xml:space="preserve">说明</w:t>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2340" w:type="dxa"/>
            <w:vAlign w:val="center"/>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1620" w:type="dxa"/>
            <w:vAlign w:val="center"/>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1260" w:type="dxa"/>
            <w:vAlign w:val="center"/>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Fonts w:ascii="仿宋" w:hAnsi="仿宋" w:eastAsia="仿宋" w:cs="仿宋"/>
                <w:caps/>
                <w:sz w:val="24"/>
                <w:highlight w:val="none"/>
              </w:rPr>
            </w:r>
            <w:r/>
          </w:p>
        </w:tc>
        <w:tc>
          <w:tcPr>
            <w:tcBorders>
              <w:top w:val="single" w:color="000000" w:sz="6" w:space="0"/>
              <w:left w:val="single" w:color="000000" w:sz="6" w:space="0"/>
              <w:bottom w:val="single" w:color="000000" w:sz="6" w:space="0"/>
              <w:right w:val="single" w:color="000000" w:sz="6" w:space="0"/>
            </w:tcBorders>
            <w:tcW w:w="1980" w:type="dxa"/>
            <w:vAlign w:val="center"/>
            <w:textDirection w:val="lrTb"/>
            <w:noWrap w:val="false"/>
          </w:tcPr>
          <w:p>
            <w:pPr>
              <w:pStyle w:val="1270"/>
              <w:jc w:val="center"/>
              <w:spacing w:line="400" w:lineRule="exact"/>
              <w:widowControl w:val="off"/>
              <w:rPr>
                <w:rStyle w:val="1312"/>
                <w:rFonts w:ascii="仿宋" w:hAnsi="仿宋" w:eastAsia="仿宋" w:cs="仿宋"/>
                <w:caps/>
                <w:sz w:val="24"/>
                <w:highlight w:val="none"/>
              </w:rPr>
            </w:pPr>
            <w:r>
              <w:rPr>
                <w:rFonts w:ascii="仿宋" w:hAnsi="仿宋" w:eastAsia="仿宋" w:cs="仿宋"/>
                <w:caps/>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r>
      <w:tr>
        <w:trPr>
          <w:jc w:val="cente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234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62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26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c>
          <w:tcPr>
            <w:tcBorders>
              <w:top w:val="single" w:color="000000" w:sz="6" w:space="0"/>
              <w:left w:val="single" w:color="000000" w:sz="6" w:space="0"/>
              <w:bottom w:val="single" w:color="000000" w:sz="6" w:space="0"/>
              <w:right w:val="single" w:color="000000" w:sz="6" w:space="0"/>
            </w:tcBorders>
            <w:tcW w:w="1980" w:type="dxa"/>
            <w:textDirection w:val="lrTb"/>
            <w:noWrap w:val="false"/>
          </w:tcPr>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tc>
      </w:tr>
    </w:tbl>
    <w:p>
      <w:pPr>
        <w:pStyle w:val="1270"/>
        <w:jc w:val="left"/>
        <w:spacing w:line="400" w:lineRule="exact"/>
        <w:widowControl w:val="off"/>
        <w:rPr>
          <w:rStyle w:val="1312"/>
          <w:rFonts w:ascii="仿宋" w:hAnsi="仿宋" w:eastAsia="仿宋" w:cs="仿宋"/>
          <w:sz w:val="24"/>
          <w:highlight w:val="none"/>
          <w:u w:val="single"/>
        </w:rPr>
      </w:pPr>
      <w:r>
        <w:rPr>
          <w:rStyle w:val="1312"/>
          <w:rFonts w:hint="eastAsia" w:ascii="仿宋" w:hAnsi="仿宋" w:eastAsia="仿宋" w:cs="仿宋"/>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1270"/>
        <w:jc w:val="left"/>
        <w:spacing w:line="400" w:lineRule="exact"/>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ind w:firstLine="396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供应商（</w:t>
      </w:r>
      <w:r>
        <w:rPr>
          <w:rStyle w:val="1312"/>
          <w:rFonts w:hint="eastAsia" w:ascii="仿宋" w:hAnsi="仿宋" w:eastAsia="仿宋" w:cs="仿宋"/>
          <w:sz w:val="24"/>
          <w:szCs w:val="24"/>
          <w:highlight w:val="none"/>
        </w:rPr>
        <w:t xml:space="preserve">电子签章</w:t>
      </w:r>
      <w:r>
        <w:rPr>
          <w:rStyle w:val="1312"/>
          <w:rFonts w:hint="eastAsia" w:ascii="仿宋" w:hAnsi="仿宋" w:eastAsia="仿宋" w:cs="仿宋"/>
          <w:sz w:val="24"/>
          <w:highlight w:val="none"/>
        </w:rPr>
        <w:t xml:space="preserve">）：</w:t>
      </w:r>
      <w:r/>
    </w:p>
    <w:p>
      <w:pPr>
        <w:pStyle w:val="1270"/>
        <w:ind w:firstLine="396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法定代表人或授权代表（签字或盖章）：  </w:t>
      </w:r>
      <w:r/>
    </w:p>
    <w:p>
      <w:pPr>
        <w:pStyle w:val="1270"/>
        <w:ind w:firstLine="396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日期：</w:t>
      </w:r>
      <w:r/>
    </w:p>
    <w:p>
      <w:pPr>
        <w:rPr>
          <w:rStyle w:val="1312"/>
          <w:rFonts w:ascii="仿宋" w:hAnsi="仿宋" w:eastAsia="仿宋" w:cs="仿宋"/>
          <w:sz w:val="24"/>
          <w:highlight w:val="none"/>
        </w:rPr>
      </w:pPr>
      <w:r>
        <w:rPr>
          <w:rStyle w:val="1312"/>
          <w:rFonts w:hint="eastAsia" w:ascii="仿宋" w:hAnsi="仿宋" w:eastAsia="仿宋" w:cs="仿宋"/>
          <w:sz w:val="24"/>
          <w:highlight w:val="none"/>
        </w:rPr>
        <w:br w:type="page" w:clear="all"/>
      </w:r>
      <w:r/>
    </w:p>
    <w:p>
      <w:pPr>
        <w:pStyle w:val="1270"/>
        <w:ind w:firstLine="643"/>
        <w:jc w:val="center"/>
        <w:spacing w:line="360" w:lineRule="auto"/>
        <w:widowControl w:val="off"/>
        <w:rPr>
          <w:rStyle w:val="1312"/>
          <w:rFonts w:ascii="仿宋" w:hAnsi="仿宋" w:eastAsia="仿宋" w:cs="仿宋"/>
          <w:sz w:val="28"/>
          <w:highlight w:val="none"/>
        </w:rPr>
        <w:outlineLvl w:val="0"/>
      </w:pPr>
      <w:r>
        <w:rPr>
          <w:rStyle w:val="1312"/>
          <w:rFonts w:hint="eastAsia" w:ascii="仿宋" w:hAnsi="仿宋" w:eastAsia="仿宋" w:cs="仿宋"/>
          <w:b/>
          <w:bCs/>
          <w:sz w:val="28"/>
          <w:szCs w:val="21"/>
          <w:highlight w:val="none"/>
        </w:rPr>
        <w:t xml:space="preserve">7、拟签订的合同文本</w:t>
      </w:r>
      <w:r/>
    </w:p>
    <w:p>
      <w:pPr>
        <w:ind w:left="1200" w:hanging="120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项目名称：</w:t>
      </w:r>
      <w:r>
        <w:rPr>
          <w:rStyle w:val="1312"/>
          <w:rFonts w:hint="eastAsia" w:ascii="仿宋" w:hAnsi="仿宋" w:eastAsia="仿宋" w:cs="仿宋"/>
          <w:sz w:val="24"/>
          <w:highlight w:val="none"/>
        </w:rPr>
        <w:t xml:space="preserve">巡特警支队训练场地整治项目</w:t>
      </w:r>
      <w:r>
        <w:rPr>
          <w:rFonts w:hint="eastAsia" w:ascii="仿宋" w:hAnsi="仿宋" w:eastAsia="仿宋" w:cs="仿宋"/>
          <w:color w:val="000000" w:themeColor="text1"/>
          <w:sz w:val="24"/>
          <w:szCs w:val="20"/>
          <w:highlight w:val="none"/>
          <w14:textFill>
            <w14:solidFill>
              <w14:schemeClr w14:val="tx1"/>
            </w14:solidFill>
          </w14:textFill>
        </w:rPr>
        <w:t xml:space="preserve"> </w:t>
      </w:r>
      <w:r/>
    </w:p>
    <w:p>
      <w:pPr>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项目编号： </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ascii="仿宋" w:hAnsi="仿宋" w:eastAsia="仿宋" w:cs="仿宋"/>
          <w:color w:val="000000" w:themeColor="text1"/>
          <w:sz w:val="72"/>
          <w:szCs w:val="72"/>
          <w:highlight w:val="none"/>
          <w14:textFill>
            <w14:solidFill>
              <w14:schemeClr w14:val="tx1"/>
            </w14:solidFill>
          </w14:textFill>
        </w:rPr>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政</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府</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采</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购</w:t>
      </w:r>
      <w:r/>
    </w:p>
    <w:p>
      <w:pPr>
        <w:ind w:left="72" w:right="30"/>
        <w:jc w:val="center"/>
        <w:spacing w:after="60" w:line="360" w:lineRule="atLeast"/>
        <w:rPr>
          <w:rFonts w:ascii="仿宋" w:hAnsi="仿宋" w:eastAsia="仿宋" w:cs="仿宋"/>
          <w:color w:val="000000" w:themeColor="text1"/>
          <w:sz w:val="72"/>
          <w:szCs w:val="7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合</w:t>
      </w:r>
      <w:r/>
    </w:p>
    <w:p>
      <w:pPr>
        <w:ind w:left="72" w:right="30"/>
        <w:jc w:val="center"/>
        <w:spacing w:after="60" w:line="360" w:lineRule="atLeast"/>
        <w:rPr>
          <w:rFonts w:ascii="仿宋" w:hAnsi="仿宋" w:eastAsia="仿宋" w:cs="仿宋"/>
          <w:color w:val="000000" w:themeColor="text1"/>
          <w:sz w:val="24"/>
          <w:szCs w:val="22"/>
          <w:highlight w:val="none"/>
          <w14:textFill>
            <w14:solidFill>
              <w14:schemeClr w14:val="tx1"/>
            </w14:solidFill>
          </w14:textFill>
        </w:rPr>
      </w:pPr>
      <w:r>
        <w:rPr>
          <w:rFonts w:hint="eastAsia" w:ascii="仿宋" w:hAnsi="仿宋" w:eastAsia="仿宋" w:cs="仿宋"/>
          <w:color w:val="000000" w:themeColor="text1"/>
          <w:sz w:val="72"/>
          <w:szCs w:val="72"/>
          <w:highlight w:val="none"/>
          <w14:textFill>
            <w14:solidFill>
              <w14:schemeClr w14:val="tx1"/>
            </w14:solidFill>
          </w14:textFill>
        </w:rPr>
        <w:t xml:space="preserve">同</w:t>
      </w:r>
      <w:r/>
    </w:p>
    <w:p>
      <w:pPr>
        <w:ind w:firstLine="36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ascii="仿宋" w:hAnsi="仿宋" w:eastAsia="仿宋" w:cs="仿宋"/>
          <w:color w:val="000000" w:themeColor="text1"/>
          <w:sz w:val="24"/>
          <w:szCs w:val="20"/>
          <w:highlight w:val="none"/>
          <w14:textFill>
            <w14:solidFill>
              <w14:schemeClr w14:val="tx1"/>
            </w14:solidFill>
          </w14:textFill>
        </w:rPr>
      </w:r>
      <w:r/>
    </w:p>
    <w:p>
      <w:pPr>
        <w:ind w:firstLine="132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采  购  人： </w:t>
      </w:r>
      <w:r/>
    </w:p>
    <w:p>
      <w:pPr>
        <w:ind w:firstLine="1320"/>
        <w:jc w:val="left"/>
        <w:spacing w:line="360" w:lineRule="auto"/>
        <w:rPr>
          <w:rFonts w:ascii="仿宋" w:hAnsi="仿宋" w:eastAsia="仿宋" w:cs="仿宋"/>
          <w:color w:val="000000" w:themeColor="text1"/>
          <w:sz w:val="24"/>
          <w:szCs w:val="20"/>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成交供应商：</w:t>
      </w:r>
      <w:r/>
    </w:p>
    <w:p>
      <w:pPr>
        <w:ind w:firstLine="1320"/>
        <w:jc w:val="left"/>
        <w:spacing w:line="360" w:lineRule="auto"/>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0"/>
          <w:highlight w:val="none"/>
          <w14:textFill>
            <w14:solidFill>
              <w14:schemeClr w14:val="tx1"/>
            </w14:solidFill>
          </w14:textFill>
        </w:rPr>
        <w:t xml:space="preserve">合同签订日期：     年     月     日</w:t>
      </w:r>
      <w:r/>
    </w:p>
    <w:p>
      <w:pPr>
        <w:ind w:firstLine="480"/>
        <w:spacing w:line="360" w:lineRule="auto"/>
        <w:widowControl w:val="off"/>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p>
      <w:pPr>
        <w:ind w:firstLine="480"/>
        <w:spacing w:line="360" w:lineRule="auto"/>
        <w:widowControl w:val="off"/>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p>
      <w:pPr>
        <w:ind w:firstLine="480"/>
        <w:spacing w:line="360" w:lineRule="auto"/>
        <w:widowControl w:val="off"/>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友情提醒：采购人与中标、成交供应商应当在中标、成交通知书发出之日起三十日内，按照采购文件确定的事项签订政府采购合同。</w:t>
      </w:r>
      <w:r/>
    </w:p>
    <w:p>
      <w:pPr>
        <w:ind w:firstLine="480"/>
        <w:jc w:val="left"/>
        <w:spacing w:line="360" w:lineRule="auto"/>
        <w:rPr>
          <w:rFonts w:ascii="仿宋" w:hAnsi="仿宋" w:eastAsia="仿宋" w:cs="仿宋"/>
          <w:b/>
          <w:bCs/>
          <w:color w:val="000000" w:themeColor="text1"/>
          <w:sz w:val="24"/>
          <w:szCs w:val="24"/>
          <w:highlight w:val="none"/>
          <w14:textFill>
            <w14:solidFill>
              <w14:schemeClr w14:val="tx1"/>
            </w14:solidFill>
          </w14:textFill>
        </w:rPr>
        <w:sectPr>
          <w:headerReference w:type="default" r:id="rId11"/>
          <w:footerReference w:type="default" r:id="rId17"/>
          <w:footnotePr/>
          <w:endnotePr/>
          <w:type w:val="nextPage"/>
          <w:pgSz w:w="11906" w:h="16838" w:orient="portrait"/>
          <w:pgMar w:top="1134" w:right="1134" w:bottom="1134" w:left="1134" w:header="851" w:footer="992" w:gutter="0"/>
          <w:cols w:num="1" w:sep="0" w:space="1701" w:equalWidth="1"/>
          <w:docGrid w:linePitch="360"/>
        </w:sectPr>
      </w:pPr>
      <w:r>
        <w:rPr>
          <w:rFonts w:hint="eastAsia" w:ascii="仿宋" w:hAnsi="仿宋" w:eastAsia="仿宋" w:cs="仿宋"/>
          <w:b/>
          <w:bCs/>
          <w:color w:val="000000" w:themeColor="text1"/>
          <w:sz w:val="24"/>
          <w:szCs w:val="24"/>
          <w:highlight w:val="none"/>
          <w14:textFill>
            <w14:solidFill>
              <w14:schemeClr w14:val="tx1"/>
            </w14:solidFill>
          </w14:textFill>
        </w:rPr>
        <w:t xml:space="preserve">采购人应当自政府采购合同签订之日起2个工作日内，将政府采购合同在省级以上人民政府财政部门指定的媒体上公告，但政府采购合同中涉及国家秘密、商业秘密的内容除外。</w:t>
      </w:r>
      <w:r/>
    </w:p>
    <w:p>
      <w:pPr>
        <w:rPr>
          <w:rFonts w:ascii="仿宋" w:hAnsi="仿宋" w:eastAsia="仿宋" w:cs="仿宋"/>
          <w:highlight w:val="none"/>
        </w:rPr>
      </w:pPr>
      <w:r>
        <w:rPr>
          <w:rFonts w:ascii="仿宋" w:hAnsi="仿宋" w:eastAsia="仿宋" w:cs="仿宋"/>
          <w:highlight w:val="none"/>
        </w:rPr>
      </w:r>
      <w:r/>
    </w:p>
    <w:p>
      <w:pPr>
        <w:jc w:val="center"/>
        <w:keepLines/>
        <w:keepNext/>
        <w:spacing w:line="360" w:lineRule="auto"/>
        <w:rPr>
          <w:rFonts w:ascii="仿宋" w:hAnsi="仿宋" w:eastAsia="仿宋" w:cs="仿宋"/>
          <w:bCs/>
          <w:sz w:val="24"/>
          <w:szCs w:val="24"/>
          <w:highlight w:val="none"/>
        </w:rPr>
        <w:outlineLvl w:val="1"/>
      </w:pPr>
      <w:r>
        <w:rPr>
          <w:rFonts w:hint="eastAsia" w:ascii="仿宋" w:hAnsi="仿宋" w:eastAsia="仿宋" w:cs="仿宋"/>
          <w:b/>
          <w:bCs/>
          <w:sz w:val="24"/>
          <w:szCs w:val="24"/>
          <w:highlight w:val="none"/>
        </w:rPr>
        <w:t xml:space="preserve">第一部分 合同协议书</w:t>
      </w:r>
      <w:r/>
    </w:p>
    <w:p>
      <w:pPr>
        <w:spacing w:line="360" w:lineRule="auto"/>
        <w:rPr>
          <w:rFonts w:ascii="仿宋" w:hAnsi="仿宋" w:eastAsia="仿宋" w:cs="仿宋"/>
          <w:b/>
          <w:sz w:val="24"/>
          <w:szCs w:val="24"/>
          <w:highlight w:val="none"/>
          <w:u w:val="single"/>
        </w:rPr>
      </w:pPr>
      <w:r>
        <w:rPr>
          <w:rFonts w:hint="eastAsia" w:ascii="仿宋" w:hAnsi="仿宋" w:eastAsia="仿宋" w:cs="仿宋"/>
          <w:b/>
          <w:sz w:val="24"/>
          <w:szCs w:val="24"/>
          <w:highlight w:val="none"/>
        </w:rPr>
        <w:t xml:space="preserve">发包人（全称）：</w:t>
      </w:r>
      <w:r>
        <w:rPr>
          <w:rFonts w:hint="eastAsia" w:ascii="仿宋" w:hAnsi="仿宋" w:eastAsia="仿宋" w:cs="仿宋"/>
          <w:b/>
          <w:sz w:val="24"/>
          <w:szCs w:val="24"/>
          <w:highlight w:val="none"/>
          <w:u w:val="single"/>
        </w:rPr>
        <w:t xml:space="preserve">徐州市公安局</w:t>
      </w:r>
      <w:r/>
    </w:p>
    <w:p>
      <w:pPr>
        <w:spacing w:line="360" w:lineRule="auto"/>
        <w:rPr>
          <w:rFonts w:ascii="仿宋" w:hAnsi="仿宋" w:eastAsia="仿宋" w:cs="仿宋"/>
          <w:b/>
          <w:sz w:val="24"/>
          <w:szCs w:val="24"/>
          <w:highlight w:val="none"/>
          <w:u w:val="single"/>
        </w:rPr>
      </w:pPr>
      <w:r>
        <w:rPr>
          <w:rFonts w:hint="eastAsia" w:ascii="仿宋" w:hAnsi="仿宋" w:eastAsia="仿宋" w:cs="仿宋"/>
          <w:b/>
          <w:sz w:val="24"/>
          <w:szCs w:val="24"/>
          <w:highlight w:val="none"/>
        </w:rPr>
        <w:t xml:space="preserve">承包人（全称）： </w:t>
      </w:r>
      <w:r>
        <w:rPr>
          <w:rFonts w:hint="eastAsia" w:ascii="仿宋" w:hAnsi="仿宋" w:eastAsia="仿宋" w:cs="仿宋"/>
          <w:b/>
          <w:sz w:val="24"/>
          <w:szCs w:val="24"/>
          <w:highlight w:val="none"/>
          <w:u w:val="single"/>
        </w:rPr>
        <w:t xml:space="preserve">   </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根据《中华人民共和国民法典》、《中华人民共和国建筑法》及有关法律规定，遵循平等、自愿、公平和诚实信用的原则，双方就</w:t>
      </w:r>
      <w:r>
        <w:rPr>
          <w:rFonts w:hint="eastAsia" w:ascii="仿宋" w:hAnsi="仿宋" w:eastAsia="仿宋" w:cs="仿宋"/>
          <w:sz w:val="24"/>
          <w:szCs w:val="24"/>
          <w:highlight w:val="none"/>
          <w:u w:val="single"/>
        </w:rPr>
        <w:t xml:space="preserve"> </w:t>
      </w:r>
      <w:r>
        <w:rPr>
          <w:rFonts w:hint="eastAsia" w:ascii="仿宋" w:hAnsi="仿宋" w:eastAsia="仿宋" w:cs="仿宋"/>
          <w:bCs/>
          <w:sz w:val="24"/>
          <w:szCs w:val="24"/>
          <w:highlight w:val="none"/>
          <w:u w:val="single"/>
          <w:lang w:eastAsia="zh-CN"/>
        </w:rPr>
        <w:t xml:space="preserve">巡特警支队训练场地整治项目</w:t>
      </w:r>
      <w:r>
        <w:rPr>
          <w:rFonts w:hint="eastAsia" w:ascii="仿宋" w:hAnsi="仿宋" w:eastAsia="仿宋" w:cs="仿宋"/>
          <w:sz w:val="24"/>
          <w:szCs w:val="24"/>
          <w:highlight w:val="none"/>
        </w:rPr>
        <w:t xml:space="preserve">施工及有关事项协商一致，共同达成如下协议：</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一、工程概况</w:t>
      </w:r>
      <w:r/>
    </w:p>
    <w:p>
      <w:pPr>
        <w:ind w:firstLine="411"/>
        <w:spacing w:line="360" w:lineRule="auto"/>
        <w:rPr>
          <w:rFonts w:hint="eastAsia" w:ascii="仿宋" w:hAnsi="仿宋" w:eastAsia="仿宋" w:cs="仿宋"/>
          <w:sz w:val="24"/>
          <w:szCs w:val="24"/>
          <w:highlight w:val="none"/>
          <w:u w:val="single"/>
          <w:lang w:eastAsia="zh-CN"/>
        </w:rPr>
      </w:pPr>
      <w:r>
        <w:rPr>
          <w:rFonts w:hint="eastAsia" w:ascii="仿宋" w:hAnsi="仿宋" w:eastAsia="仿宋" w:cs="仿宋"/>
          <w:bCs/>
          <w:sz w:val="24"/>
          <w:szCs w:val="24"/>
          <w:highlight w:val="none"/>
        </w:rPr>
        <w:t xml:space="preserve">1、工程名称</w:t>
      </w:r>
      <w:r>
        <w:rPr>
          <w:rFonts w:hint="eastAsia" w:ascii="仿宋" w:hAnsi="仿宋" w:eastAsia="仿宋" w:cs="仿宋"/>
          <w:sz w:val="24"/>
          <w:szCs w:val="24"/>
          <w:highlight w:val="none"/>
        </w:rPr>
        <w:t xml:space="preserve">：</w:t>
      </w:r>
      <w:r>
        <w:rPr>
          <w:rFonts w:hint="eastAsia" w:ascii="仿宋" w:hAnsi="仿宋" w:eastAsia="仿宋" w:cs="仿宋"/>
          <w:bCs/>
          <w:sz w:val="24"/>
          <w:szCs w:val="24"/>
          <w:highlight w:val="none"/>
          <w:u w:val="single"/>
          <w:lang w:eastAsia="zh-CN"/>
        </w:rPr>
        <w:t xml:space="preserve">巡特警支队训练场地整治项目</w:t>
      </w:r>
      <w:r/>
    </w:p>
    <w:p>
      <w:pPr>
        <w:ind w:firstLine="420"/>
        <w:spacing w:line="360" w:lineRule="auto"/>
        <w:rPr>
          <w:rFonts w:ascii="仿宋" w:hAnsi="仿宋" w:eastAsia="仿宋" w:cs="仿宋"/>
          <w:sz w:val="24"/>
          <w:szCs w:val="24"/>
          <w:highlight w:val="none"/>
          <w:u w:val="single"/>
        </w:rPr>
      </w:pPr>
      <w:r>
        <w:rPr>
          <w:rFonts w:hint="eastAsia" w:ascii="仿宋" w:hAnsi="仿宋" w:eastAsia="仿宋" w:cs="仿宋"/>
          <w:bCs/>
          <w:sz w:val="24"/>
          <w:szCs w:val="24"/>
          <w:highlight w:val="none"/>
        </w:rPr>
        <w:t xml:space="preserve">2、工程地点：</w:t>
      </w:r>
      <w:r>
        <w:rPr>
          <w:rFonts w:hint="eastAsia" w:ascii="仿宋" w:hAnsi="仿宋" w:eastAsia="仿宋" w:cs="仿宋"/>
          <w:bCs/>
          <w:sz w:val="24"/>
          <w:szCs w:val="24"/>
          <w:highlight w:val="none"/>
          <w:u w:val="single"/>
        </w:rPr>
        <w:t xml:space="preserve">徐州市  </w:t>
      </w:r>
      <w:r>
        <w:rPr>
          <w:rFonts w:hint="eastAsia" w:ascii="仿宋" w:hAnsi="仿宋" w:eastAsia="仿宋" w:cs="仿宋"/>
          <w:sz w:val="24"/>
          <w:szCs w:val="24"/>
          <w:highlight w:val="none"/>
          <w:u w:val="single"/>
        </w:rPr>
        <w:t xml:space="preserve">。 </w:t>
      </w:r>
      <w:r/>
    </w:p>
    <w:p>
      <w:pPr>
        <w:ind w:firstLine="411"/>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3、工程立项批准文号：</w:t>
      </w:r>
      <w:r>
        <w:rPr>
          <w:rFonts w:hint="eastAsia" w:ascii="仿宋" w:hAnsi="仿宋" w:eastAsia="仿宋" w:cs="仿宋"/>
          <w:bCs/>
          <w:sz w:val="24"/>
          <w:szCs w:val="24"/>
          <w:highlight w:val="none"/>
          <w:u w:val="single"/>
        </w:rPr>
        <w:t xml:space="preserve">/</w:t>
      </w:r>
      <w:r/>
    </w:p>
    <w:p>
      <w:pPr>
        <w:ind w:firstLine="411"/>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4、资金来源：</w:t>
      </w:r>
      <w:r>
        <w:rPr>
          <w:rFonts w:hint="eastAsia" w:ascii="仿宋" w:hAnsi="仿宋" w:eastAsia="仿宋" w:cs="仿宋"/>
          <w:sz w:val="24"/>
          <w:szCs w:val="24"/>
          <w:highlight w:val="none"/>
          <w:u w:val="single"/>
        </w:rPr>
        <w:t xml:space="preserve">自筹资金                      </w:t>
      </w:r>
      <w:r/>
    </w:p>
    <w:p>
      <w:pPr>
        <w:ind w:firstLine="411"/>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5、工程内容：</w:t>
      </w:r>
      <w:r>
        <w:rPr>
          <w:rFonts w:hint="eastAsia" w:ascii="仿宋" w:hAnsi="仿宋" w:eastAsia="仿宋" w:cs="仿宋"/>
          <w:sz w:val="24"/>
          <w:szCs w:val="24"/>
          <w:highlight w:val="none"/>
          <w:u w:val="single"/>
        </w:rPr>
        <w:t xml:space="preserve">详见工程量清单及施工图全部内容</w:t>
      </w:r>
      <w:r>
        <w:rPr>
          <w:rFonts w:hint="eastAsia" w:ascii="仿宋" w:hAnsi="仿宋" w:eastAsia="仿宋" w:cs="仿宋"/>
          <w:bCs/>
          <w:sz w:val="24"/>
          <w:szCs w:val="24"/>
          <w:highlight w:val="none"/>
        </w:rPr>
        <w:t xml:space="preserve">。</w:t>
      </w:r>
      <w:r/>
    </w:p>
    <w:p>
      <w:pPr>
        <w:ind w:firstLine="420"/>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rPr>
        <w:t xml:space="preserve">6、工程承包范围：</w:t>
      </w:r>
      <w:r>
        <w:rPr>
          <w:rFonts w:hint="eastAsia" w:ascii="仿宋" w:hAnsi="仿宋" w:eastAsia="仿宋" w:cs="仿宋"/>
          <w:sz w:val="24"/>
          <w:szCs w:val="24"/>
          <w:highlight w:val="none"/>
          <w:u w:val="single"/>
          <w:lang w:eastAsia="zh-CN"/>
        </w:rPr>
        <w:t xml:space="preserve">巡特警支队训练场地整治项目</w:t>
      </w:r>
      <w:r>
        <w:rPr>
          <w:rFonts w:hint="eastAsia" w:ascii="仿宋" w:hAnsi="仿宋" w:eastAsia="仿宋" w:cs="仿宋"/>
          <w:sz w:val="24"/>
          <w:szCs w:val="24"/>
          <w:highlight w:val="none"/>
          <w:u w:val="single"/>
        </w:rPr>
        <w:t xml:space="preserve">，详见工程量清单及施工图所含全部内容。</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zh-TW"/>
        </w:rPr>
        <w:t xml:space="preserve">7、</w:t>
      </w:r>
      <w:r>
        <w:rPr>
          <w:rFonts w:hint="eastAsia" w:ascii="仿宋" w:hAnsi="仿宋" w:eastAsia="仿宋" w:cs="仿宋"/>
          <w:bCs/>
          <w:sz w:val="24"/>
          <w:szCs w:val="24"/>
          <w:highlight w:val="none"/>
        </w:rPr>
        <w:t xml:space="preserve">承包方式：包工包料。</w:t>
      </w:r>
      <w:r/>
    </w:p>
    <w:p>
      <w:pPr>
        <w:keepLines/>
        <w:keepNext/>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二、合同工期</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计划开工日期：  年   月   日。</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计划竣工日期：年  月  日。</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工期总日历天数：</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天。工期总日历天数与根据前述计划开竣工日期计算的工期天数不一致的，以工期总日历天数为准。</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三、质量标准</w:t>
      </w:r>
      <w:r/>
    </w:p>
    <w:p>
      <w:pPr>
        <w:ind w:firstLine="45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工程质量符合</w:t>
      </w:r>
      <w:r>
        <w:rPr>
          <w:rFonts w:hint="eastAsia" w:ascii="仿宋" w:hAnsi="仿宋" w:eastAsia="仿宋" w:cs="仿宋"/>
          <w:sz w:val="24"/>
          <w:szCs w:val="24"/>
          <w:highlight w:val="none"/>
          <w:u w:val="single"/>
        </w:rPr>
        <w:t xml:space="preserve">合格</w:t>
      </w:r>
      <w:r>
        <w:rPr>
          <w:rFonts w:hint="eastAsia" w:ascii="仿宋" w:hAnsi="仿宋" w:eastAsia="仿宋" w:cs="仿宋"/>
          <w:sz w:val="24"/>
          <w:szCs w:val="24"/>
          <w:highlight w:val="none"/>
        </w:rPr>
        <w:t xml:space="preserve">标准，同时须符合现行最新的国家有关标准、规范及其他适用于本工程的技术标准、规范及发包人要求。</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四、签约合同价与合同价格形式</w:t>
      </w:r>
      <w:r>
        <w:rPr>
          <w:rFonts w:hint="eastAsia" w:ascii="仿宋" w:hAnsi="仿宋" w:eastAsia="仿宋" w:cs="仿宋"/>
          <w:bCs/>
          <w:sz w:val="24"/>
          <w:szCs w:val="24"/>
          <w:highlight w:val="none"/>
        </w:rPr>
        <w:tab/>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1.签约合同价为：</w:t>
      </w:r>
      <w:r/>
    </w:p>
    <w:p>
      <w:pPr>
        <w:ind w:firstLine="52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其中：</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（1）安全文明施工费：</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（2）材料和工程设备暂估价金额：</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（3）专业工程暂估价金额：</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（4）暂列金额：</w:t>
      </w:r>
      <w:r/>
    </w:p>
    <w:p>
      <w:pPr>
        <w:ind w:firstLine="945"/>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人民币（大写）</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 (¥</w:t>
      </w:r>
      <w:r>
        <w:rPr>
          <w:rFonts w:hint="eastAsia" w:ascii="仿宋" w:hAnsi="仿宋" w:eastAsia="仿宋" w:cs="仿宋"/>
          <w:sz w:val="24"/>
          <w:szCs w:val="24"/>
          <w:highlight w:val="none"/>
          <w:u w:val="single"/>
        </w:rPr>
        <w:t xml:space="preserve">         /     </w:t>
      </w:r>
      <w:r>
        <w:rPr>
          <w:rFonts w:hint="eastAsia" w:ascii="仿宋" w:hAnsi="仿宋" w:eastAsia="仿宋" w:cs="仿宋"/>
          <w:sz w:val="24"/>
          <w:szCs w:val="24"/>
          <w:highlight w:val="none"/>
        </w:rPr>
        <w:t xml:space="preserve">元)。</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2.合同价格形式：</w:t>
      </w:r>
      <w:r>
        <w:rPr>
          <w:rFonts w:hint="eastAsia" w:ascii="仿宋" w:hAnsi="仿宋" w:eastAsia="仿宋" w:cs="仿宋"/>
          <w:sz w:val="24"/>
          <w:szCs w:val="24"/>
          <w:highlight w:val="none"/>
          <w:u w:val="single"/>
        </w:rPr>
        <w:t xml:space="preserve">固定单价合同  </w:t>
      </w:r>
      <w:r>
        <w:rPr>
          <w:rFonts w:hint="eastAsia" w:ascii="仿宋" w:hAnsi="仿宋" w:eastAsia="仿宋" w:cs="仿宋"/>
          <w:sz w:val="24"/>
          <w:szCs w:val="24"/>
          <w:highlight w:val="none"/>
        </w:rPr>
        <w:t xml:space="preserve">。</w:t>
      </w:r>
      <w:r/>
    </w:p>
    <w:p>
      <w:pPr>
        <w:keepLines/>
        <w:keepNext/>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五、项目经理</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承包人项目经理：</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六、合同文件构成</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本协议书与下列文件一起构成合同文件：</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（1）中标通知书（如果有）；</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（2）投标函及其附录（如果有）； </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（3）专用合同条款及其附件；</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（4）通用合同条款；</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（5）技术标准和要求；</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（6）图纸；</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（7）已标价工程量清单或预算书；</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（8）其他合同文件。</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在合同订立及履行过程中形成的与合同有关的文件均构成合同文件组成部分。</w:t>
      </w:r>
      <w:r/>
    </w:p>
    <w:p>
      <w:pPr>
        <w:ind w:firstLine="42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上述各项合同文件包括合同当事人就该项合同文件所作出的任何补充和修改内容一律不得背离合同实质性内容，否则，再行订立的背离合同实质性内容的其他协议应视为无效。专用合同条款及其附件须经合同当事人签字或盖章。</w:t>
      </w:r>
      <w:r/>
    </w:p>
    <w:p>
      <w:pPr>
        <w:keepLines/>
        <w:keepNext/>
        <w:spacing w:line="360" w:lineRule="auto"/>
        <w:rPr>
          <w:rFonts w:ascii="仿宋" w:hAnsi="仿宋" w:eastAsia="仿宋" w:cs="仿宋"/>
          <w:sz w:val="24"/>
          <w:szCs w:val="24"/>
          <w:highlight w:val="none"/>
        </w:rPr>
      </w:pPr>
      <w:r>
        <w:rPr>
          <w:rFonts w:hint="eastAsia" w:ascii="仿宋" w:hAnsi="仿宋" w:eastAsia="仿宋" w:cs="仿宋"/>
          <w:bCs/>
          <w:sz w:val="24"/>
          <w:szCs w:val="24"/>
          <w:highlight w:val="none"/>
        </w:rPr>
        <w:t xml:space="preserve">七、承诺</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1.发包人承诺按照法律规定履行项目审批手续、筹集工程建设资金并按照合同约定的期限和方式支付合同价款。</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2.承包人承诺按照法律规定及合同约定组织完成工程施工，确保工程质量和安全，并在缺陷责任期及保修期内承担相应的工程维修责任。</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3.发包人和承包人通过招投标形式签订合同的，双方理解并承诺不再就同一工程另行签订与合同实质性内容相背离的协议。</w:t>
      </w:r>
      <w:r/>
    </w:p>
    <w:p>
      <w:pPr>
        <w:spacing w:line="360" w:lineRule="auto"/>
        <w:rPr>
          <w:rFonts w:ascii="仿宋" w:hAnsi="仿宋" w:eastAsia="仿宋" w:cs="仿宋"/>
          <w:bCs/>
          <w:sz w:val="24"/>
          <w:szCs w:val="24"/>
          <w:highlight w:val="none"/>
        </w:rPr>
      </w:pPr>
      <w:r>
        <w:rPr>
          <w:rFonts w:hint="eastAsia" w:ascii="仿宋" w:hAnsi="仿宋" w:eastAsia="仿宋" w:cs="仿宋"/>
          <w:b/>
          <w:sz w:val="24"/>
          <w:szCs w:val="24"/>
          <w:highlight w:val="none"/>
        </w:rPr>
        <w:t xml:space="preserve">八、词语含义</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本协议书中词语含义与第二部分通用合同条款中赋予的含义相同。</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九、签订时间</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本合同于</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年</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月</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日签订。</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十、签订地点</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本合同在</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签订。</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十一、补充协议</w:t>
      </w:r>
      <w:r/>
    </w:p>
    <w:p>
      <w:pPr>
        <w:ind w:firstLine="420"/>
        <w:spacing w:line="360" w:lineRule="auto"/>
        <w:rPr>
          <w:rFonts w:ascii="仿宋" w:hAnsi="仿宋" w:eastAsia="仿宋" w:cs="仿宋"/>
          <w:b/>
          <w:bCs/>
          <w:sz w:val="24"/>
          <w:szCs w:val="24"/>
          <w:highlight w:val="none"/>
        </w:rPr>
      </w:pPr>
      <w:r>
        <w:rPr>
          <w:rFonts w:hint="eastAsia" w:ascii="仿宋" w:hAnsi="仿宋" w:eastAsia="仿宋" w:cs="仿宋"/>
          <w:bCs/>
          <w:sz w:val="24"/>
          <w:szCs w:val="24"/>
          <w:highlight w:val="none"/>
        </w:rPr>
        <w:t xml:space="preserve">合同未尽事宜，合同当事人另行签订补充协议，补充协议是合同的组成部分。</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十二、合同生效</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本合同自</w:t>
      </w:r>
      <w:r>
        <w:rPr>
          <w:rFonts w:hint="eastAsia" w:ascii="仿宋" w:hAnsi="仿宋" w:eastAsia="仿宋" w:cs="仿宋"/>
          <w:bCs/>
          <w:sz w:val="24"/>
          <w:szCs w:val="24"/>
          <w:highlight w:val="none"/>
          <w:u w:val="single"/>
        </w:rPr>
        <w:t xml:space="preserve">       双方签字、盖章后     </w:t>
      </w:r>
      <w:r>
        <w:rPr>
          <w:rFonts w:hint="eastAsia" w:ascii="仿宋" w:hAnsi="仿宋" w:eastAsia="仿宋" w:cs="仿宋"/>
          <w:bCs/>
          <w:sz w:val="24"/>
          <w:szCs w:val="24"/>
          <w:highlight w:val="none"/>
        </w:rPr>
        <w:t xml:space="preserve">生效。</w:t>
      </w:r>
      <w:r/>
    </w:p>
    <w:p>
      <w:pPr>
        <w:keepLines/>
        <w:keepNext/>
        <w:spacing w:line="360" w:lineRule="auto"/>
        <w:rPr>
          <w:rFonts w:ascii="仿宋" w:hAnsi="仿宋" w:eastAsia="仿宋" w:cs="仿宋"/>
          <w:b/>
          <w:sz w:val="24"/>
          <w:szCs w:val="24"/>
          <w:highlight w:val="none"/>
        </w:rPr>
      </w:pPr>
      <w:r>
        <w:rPr>
          <w:rFonts w:hint="eastAsia" w:ascii="仿宋" w:hAnsi="仿宋" w:eastAsia="仿宋" w:cs="仿宋"/>
          <w:bCs/>
          <w:sz w:val="24"/>
          <w:szCs w:val="24"/>
          <w:highlight w:val="none"/>
        </w:rPr>
        <w:t xml:space="preserve">十三、合同份数</w:t>
      </w:r>
      <w:r/>
    </w:p>
    <w:p>
      <w:pPr>
        <w:ind w:firstLine="420"/>
        <w:spacing w:line="360" w:lineRule="auto"/>
        <w:rPr>
          <w:rFonts w:ascii="仿宋" w:hAnsi="仿宋" w:eastAsia="仿宋" w:cs="仿宋"/>
          <w:bCs/>
          <w:sz w:val="24"/>
          <w:szCs w:val="24"/>
          <w:highlight w:val="none"/>
        </w:rPr>
      </w:pPr>
      <w:r>
        <w:rPr>
          <w:rFonts w:hint="eastAsia" w:ascii="仿宋" w:hAnsi="仿宋" w:eastAsia="仿宋" w:cs="仿宋"/>
          <w:bCs/>
          <w:sz w:val="24"/>
          <w:szCs w:val="24"/>
          <w:highlight w:val="none"/>
        </w:rPr>
        <w:t xml:space="preserve">本合同一式</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份，均具有同等法律效力，发包人执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份，承包人执</w:t>
      </w:r>
      <w:r>
        <w:rPr>
          <w:rFonts w:hint="eastAsia" w:ascii="仿宋" w:hAnsi="仿宋" w:eastAsia="仿宋" w:cs="仿宋"/>
          <w:bCs/>
          <w:sz w:val="24"/>
          <w:szCs w:val="24"/>
          <w:highlight w:val="none"/>
          <w:u w:val="single"/>
        </w:rPr>
        <w:t xml:space="preserve">    </w:t>
      </w:r>
      <w:r>
        <w:rPr>
          <w:rFonts w:hint="eastAsia" w:ascii="仿宋" w:hAnsi="仿宋" w:eastAsia="仿宋" w:cs="仿宋"/>
          <w:bCs/>
          <w:sz w:val="24"/>
          <w:szCs w:val="24"/>
          <w:highlight w:val="none"/>
        </w:rPr>
        <w:t xml:space="preserve">份。</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十四、对接联系执行人</w:t>
      </w:r>
      <w:r/>
    </w:p>
    <w:p>
      <w:pPr>
        <w:ind w:firstLine="480"/>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发包人指定合同对接联系执行人为：</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电话： </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微信号：</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承包人指定合同对接联系执行人为：</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电话：</w:t>
      </w:r>
      <w:r>
        <w:rPr>
          <w:rFonts w:hint="eastAsia" w:ascii="仿宋" w:hAnsi="仿宋" w:eastAsia="仿宋" w:cs="仿宋"/>
          <w:sz w:val="24"/>
          <w:szCs w:val="24"/>
          <w:highlight w:val="none"/>
          <w:u w:val="single"/>
        </w:rPr>
        <w:t xml:space="preserve">                              </w:t>
      </w:r>
      <w:r/>
    </w:p>
    <w:p>
      <w:pPr>
        <w:ind w:firstLine="480"/>
        <w:spacing w:line="360" w:lineRule="auto"/>
        <w:rPr>
          <w:highlight w:val="none"/>
        </w:rPr>
      </w:pPr>
      <w:r>
        <w:rPr>
          <w:rFonts w:hint="eastAsia" w:ascii="仿宋" w:hAnsi="仿宋" w:eastAsia="仿宋" w:cs="仿宋"/>
          <w:sz w:val="24"/>
          <w:szCs w:val="24"/>
          <w:highlight w:val="none"/>
        </w:rPr>
        <w:t xml:space="preserve">微信号：</w:t>
      </w:r>
      <w:r>
        <w:rPr>
          <w:rFonts w:hint="eastAsia" w:ascii="仿宋" w:hAnsi="仿宋" w:eastAsia="仿宋" w:cs="仿宋"/>
          <w:sz w:val="24"/>
          <w:szCs w:val="24"/>
          <w:highlight w:val="none"/>
          <w:u w:val="single"/>
        </w:rPr>
        <w:t xml:space="preserve">                          </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本项目（合同）项下发包人及承包人对于其它指定的合同履行事项均按上述规定以此类推。</w:t>
      </w:r>
      <w:r/>
    </w:p>
    <w:p>
      <w:pPr>
        <w:ind w:firstLine="480"/>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本项目（合同）项下发承包双方指定的上述人员系与履行合同事项包括但不限于合同售后服务事宜有关的具体通知及送达人员，若有变更，变更方应在变更前通知相对方，否则，一方向相对方签署、通知及送达与合同履行相关的文件则视为有效，以确保缺陷责任期内的保修通知与送达具有执行力。</w:t>
      </w:r>
      <w:r/>
    </w:p>
    <w:p>
      <w:pPr>
        <w:spacing w:line="360" w:lineRule="auto"/>
        <w:rPr>
          <w:rFonts w:ascii="仿宋" w:hAnsi="仿宋" w:eastAsia="仿宋" w:cs="仿宋"/>
          <w:sz w:val="24"/>
          <w:szCs w:val="24"/>
          <w:highlight w:val="none"/>
        </w:rPr>
      </w:pPr>
      <w:r>
        <w:rPr>
          <w:rFonts w:ascii="仿宋" w:hAnsi="仿宋" w:eastAsia="仿宋" w:cs="仿宋"/>
          <w:sz w:val="24"/>
          <w:szCs w:val="24"/>
          <w:highlight w:val="none"/>
        </w:rPr>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发包人：  (公章)                         承包人：  (公章)</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签订日期：</w:t>
      </w:r>
      <w:r>
        <w:rPr>
          <w:rFonts w:hint="eastAsia" w:ascii="仿宋" w:hAnsi="仿宋" w:eastAsia="仿宋" w:cs="仿宋"/>
          <w:sz w:val="24"/>
          <w:szCs w:val="24"/>
          <w:highlight w:val="none"/>
          <w:u w:val="single"/>
        </w:rPr>
        <w:t xml:space="preserve">    年   月   日</w:t>
      </w:r>
      <w:r>
        <w:rPr>
          <w:rFonts w:hint="eastAsia" w:ascii="仿宋" w:hAnsi="仿宋" w:eastAsia="仿宋" w:cs="仿宋"/>
          <w:sz w:val="24"/>
          <w:szCs w:val="24"/>
          <w:highlight w:val="none"/>
        </w:rPr>
        <w:t xml:space="preserve">               签订日期：</w:t>
      </w:r>
      <w:r>
        <w:rPr>
          <w:rFonts w:hint="eastAsia" w:ascii="仿宋" w:hAnsi="仿宋" w:eastAsia="仿宋" w:cs="仿宋"/>
          <w:sz w:val="24"/>
          <w:szCs w:val="24"/>
          <w:highlight w:val="none"/>
          <w:u w:val="single"/>
        </w:rPr>
        <w:t xml:space="preserve">     年    月   日</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法定代表人或其委托代理人：               法定代表人或其委托代理人：</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（签字）                                  （签字）</w:t>
      </w:r>
      <w:r/>
    </w:p>
    <w:p>
      <w:pPr>
        <w:spacing w:line="360" w:lineRule="auto"/>
        <w:tabs>
          <w:tab w:val="left" w:pos="441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组织机构代码：                                   组织机构代码：</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地  址：                                         地  址：</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邮政编码：                                       邮政编码：</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                                     法定代表人：</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委托代理人：                                     委托代理人：</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  话：                                         电  话：</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传  真：                                         传  真：</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电子信箱：                                       电子信箱：</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开户银行 ：                                      开户银行：</w:t>
      </w:r>
      <w:r>
        <w:rPr>
          <w:rFonts w:hint="eastAsia" w:ascii="仿宋" w:hAnsi="仿宋" w:eastAsia="仿宋" w:cs="仿宋"/>
          <w:sz w:val="24"/>
          <w:szCs w:val="24"/>
          <w:highlight w:val="none"/>
          <w:u w:val="single"/>
        </w:rPr>
        <w:t xml:space="preserve">   </w:t>
      </w:r>
      <w:r/>
    </w:p>
    <w:p>
      <w:pPr>
        <w:spacing w:line="360" w:lineRule="auto"/>
        <w:rPr>
          <w:rFonts w:ascii="仿宋" w:hAnsi="仿宋" w:eastAsia="仿宋" w:cs="仿宋"/>
          <w:sz w:val="24"/>
          <w:szCs w:val="24"/>
          <w:highlight w:val="none"/>
          <w:u w:val="single"/>
        </w:rPr>
      </w:pPr>
      <w:r>
        <w:rPr>
          <w:rFonts w:hint="eastAsia" w:ascii="仿宋" w:hAnsi="仿宋" w:eastAsia="仿宋" w:cs="仿宋"/>
          <w:sz w:val="24"/>
          <w:szCs w:val="24"/>
          <w:highlight w:val="none"/>
        </w:rPr>
        <w:t xml:space="preserve">账  号：                                         账  号：</w:t>
      </w:r>
      <w:r>
        <w:rPr>
          <w:rFonts w:hint="eastAsia" w:ascii="仿宋" w:hAnsi="仿宋" w:eastAsia="仿宋" w:cs="仿宋"/>
          <w:sz w:val="24"/>
          <w:szCs w:val="24"/>
          <w:highlight w:val="none"/>
          <w:u w:val="single"/>
        </w:rPr>
        <w:t xml:space="preserve">     </w:t>
      </w:r>
      <w:r/>
    </w:p>
    <w:p>
      <w:pPr>
        <w:ind w:right="-36" w:firstLine="504"/>
        <w:spacing w:line="400" w:lineRule="exact"/>
        <w:tabs>
          <w:tab w:val="left" w:pos="0" w:leader="none"/>
        </w:tabs>
        <w:rPr>
          <w:rFonts w:ascii="仿宋" w:hAnsi="仿宋" w:eastAsia="仿宋" w:cs="仿宋"/>
          <w:sz w:val="24"/>
          <w:szCs w:val="24"/>
          <w:highlight w:val="none"/>
        </w:rPr>
      </w:pPr>
      <w:r>
        <w:rPr>
          <w:rFonts w:hint="eastAsia" w:ascii="仿宋" w:hAnsi="仿宋" w:eastAsia="仿宋" w:cs="仿宋"/>
          <w:sz w:val="24"/>
          <w:szCs w:val="24"/>
          <w:highlight w:val="none"/>
        </w:rPr>
        <w:t xml:space="preserve">上述地址为双方文件受送达地址</w:t>
      </w:r>
      <w:r/>
    </w:p>
    <w:p>
      <w:pPr>
        <w:jc w:val="center"/>
        <w:keepLines/>
        <w:keepNext/>
        <w:spacing w:line="312" w:lineRule="auto"/>
        <w:rPr>
          <w:rFonts w:ascii="仿宋" w:hAnsi="仿宋" w:eastAsia="仿宋" w:cs="仿宋"/>
          <w:b/>
          <w:bCs/>
          <w:sz w:val="24"/>
          <w:szCs w:val="24"/>
          <w:highlight w:val="none"/>
        </w:rPr>
        <w:outlineLvl w:val="1"/>
      </w:pPr>
      <w:r>
        <w:rPr>
          <w:rFonts w:hint="eastAsia" w:ascii="仿宋" w:hAnsi="仿宋" w:eastAsia="仿宋" w:cs="仿宋"/>
          <w:b/>
          <w:bCs/>
          <w:szCs w:val="32"/>
          <w:highlight w:val="none"/>
        </w:rPr>
        <w:br w:type="page" w:clear="all"/>
      </w:r>
      <w:r>
        <w:rPr>
          <w:rFonts w:hint="eastAsia" w:ascii="仿宋" w:hAnsi="仿宋" w:eastAsia="仿宋" w:cs="仿宋"/>
          <w:b/>
          <w:bCs/>
          <w:sz w:val="28"/>
          <w:szCs w:val="28"/>
          <w:highlight w:val="none"/>
        </w:rPr>
        <w:t xml:space="preserve">第二部分 通用合同条款</w:t>
      </w:r>
      <w:r/>
    </w:p>
    <w:p>
      <w:pPr>
        <w:jc w:val="center"/>
        <w:spacing w:line="312" w:lineRule="auto"/>
        <w:rPr>
          <w:rFonts w:ascii="仿宋" w:hAnsi="仿宋" w:eastAsia="仿宋" w:cs="仿宋"/>
          <w:b/>
          <w:sz w:val="24"/>
          <w:szCs w:val="24"/>
          <w:highlight w:val="none"/>
        </w:rPr>
      </w:pPr>
      <w:r>
        <w:rPr>
          <w:rFonts w:ascii="仿宋" w:hAnsi="仿宋" w:eastAsia="仿宋" w:cs="仿宋"/>
          <w:b/>
          <w:sz w:val="24"/>
          <w:szCs w:val="24"/>
          <w:highlight w:val="none"/>
        </w:rPr>
      </w:r>
      <w:r/>
    </w:p>
    <w:p>
      <w:pPr>
        <w:jc w:val="center"/>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采用《建设工程施工合同（示范文本）》（GF—2017—0201）。</w:t>
      </w:r>
      <w:r/>
    </w:p>
    <w:p>
      <w:pPr>
        <w:jc w:val="center"/>
        <w:spacing w:line="312" w:lineRule="auto"/>
        <w:rPr>
          <w:rFonts w:ascii="仿宋" w:hAnsi="仿宋" w:eastAsia="仿宋" w:cs="仿宋"/>
          <w:b/>
          <w:sz w:val="24"/>
          <w:szCs w:val="24"/>
          <w:highlight w:val="none"/>
          <w:u w:val="single"/>
        </w:rPr>
      </w:pPr>
      <w:r>
        <w:rPr>
          <w:rFonts w:hint="eastAsia" w:ascii="仿宋" w:hAnsi="仿宋" w:eastAsia="仿宋" w:cs="仿宋"/>
          <w:b/>
          <w:sz w:val="24"/>
          <w:szCs w:val="24"/>
          <w:highlight w:val="none"/>
          <w:u w:val="single"/>
        </w:rPr>
        <w:t xml:space="preserve">此部分在正式签订合同时应不加修改的、完整的装订在合同中。</w:t>
      </w:r>
      <w:r/>
    </w:p>
    <w:p>
      <w:pPr>
        <w:jc w:val="center"/>
        <w:spacing w:line="312" w:lineRule="auto"/>
        <w:rPr>
          <w:rFonts w:ascii="仿宋" w:hAnsi="仿宋" w:eastAsia="仿宋" w:cs="仿宋"/>
          <w:b/>
          <w:sz w:val="24"/>
          <w:szCs w:val="24"/>
          <w:highlight w:val="none"/>
          <w:u w:val="single"/>
        </w:rPr>
      </w:pPr>
      <w:r>
        <w:rPr>
          <w:rFonts w:ascii="仿宋" w:hAnsi="仿宋" w:eastAsia="仿宋" w:cs="仿宋"/>
          <w:b/>
          <w:sz w:val="24"/>
          <w:szCs w:val="24"/>
          <w:highlight w:val="none"/>
          <w:u w:val="single"/>
        </w:rPr>
      </w:r>
      <w:r/>
    </w:p>
    <w:p>
      <w:pPr>
        <w:rPr>
          <w:rFonts w:ascii="仿宋" w:hAnsi="仿宋" w:eastAsia="仿宋" w:cs="仿宋"/>
          <w:b/>
          <w:bCs/>
          <w:sz w:val="24"/>
          <w:szCs w:val="24"/>
          <w:highlight w:val="none"/>
        </w:rPr>
      </w:pPr>
      <w:r>
        <w:rPr>
          <w:rFonts w:hint="eastAsia" w:ascii="仿宋" w:hAnsi="仿宋" w:eastAsia="仿宋" w:cs="仿宋"/>
          <w:b/>
          <w:bCs/>
          <w:sz w:val="24"/>
          <w:szCs w:val="24"/>
          <w:highlight w:val="none"/>
        </w:rPr>
        <w:br w:type="page" w:clear="all"/>
      </w:r>
      <w:r/>
    </w:p>
    <w:p>
      <w:pPr>
        <w:jc w:val="center"/>
        <w:keepLines/>
        <w:keepNext/>
        <w:spacing w:before="320" w:after="200"/>
        <w:rPr>
          <w:rFonts w:ascii="仿宋" w:hAnsi="仿宋" w:eastAsia="仿宋" w:cs="仿宋"/>
          <w:b/>
          <w:bCs/>
          <w:color w:val="000000" w:themeColor="text1"/>
          <w:sz w:val="28"/>
          <w:szCs w:val="28"/>
          <w:highlight w:val="none"/>
          <w14:textFill>
            <w14:solidFill>
              <w14:schemeClr w14:val="tx1"/>
            </w14:solidFill>
          </w14:textFill>
        </w:rPr>
        <w:outlineLvl w:val="2"/>
      </w:pPr>
      <w:r>
        <w:rPr>
          <w:rFonts w:hint="eastAsia" w:ascii="仿宋" w:hAnsi="仿宋" w:eastAsia="仿宋" w:cs="仿宋"/>
          <w:b/>
          <w:bCs/>
          <w:color w:val="000000" w:themeColor="text1"/>
          <w:sz w:val="28"/>
          <w:szCs w:val="28"/>
          <w:highlight w:val="none"/>
          <w14:textFill>
            <w14:solidFill>
              <w14:schemeClr w14:val="tx1"/>
            </w14:solidFill>
          </w14:textFill>
        </w:rPr>
        <w:t xml:space="preserve">第三部分 专用合同条款</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 一般约定</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1.1 词语定义</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1.1.1合同</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1.1.1.10其他合同文件包括：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合同履行过程中经双方共同签字认可的对合同有影响的会议纪要、签证、设计变更、工程联系单及通知单等相关书面资料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 合同当事人及其他相关方</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1.1.2.4监理人：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 </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1.1.2.5 设计人：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名    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资质类别和等级：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 工程和设施</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1.1.3.7 作为施工现场组成部分的其他场所包括：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现场临时办公及施工场地</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1.1.3.9 永久占地包括：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1.1.3.10 临时占地包括：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规划用地范围外</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1.3法律 </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适用于合同的其他规范性文件：</w:t>
      </w:r>
      <w:r>
        <w:rPr>
          <w:rFonts w:hint="eastAsia" w:ascii="仿宋" w:hAnsi="仿宋" w:eastAsia="仿宋" w:cs="仿宋"/>
          <w:color w:val="000000"/>
          <w:sz w:val="24"/>
          <w:szCs w:val="24"/>
          <w:highlight w:val="none"/>
          <w:u w:val="single"/>
        </w:rPr>
        <w:t xml:space="preserve">执行国家和地方现行标准、规范的相关规定及发包人管理制度</w:t>
      </w:r>
      <w:r>
        <w:rPr>
          <w:rFonts w:hint="eastAsia" w:ascii="仿宋" w:hAnsi="仿宋" w:eastAsia="仿宋" w:cs="仿宋"/>
          <w:color w:val="00000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 标准和规范</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1.4.1适用于工程的标准规范包括：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设计有要求的按设计要求执行，设计没有要求的执行现行国家及本省、市有关标准、规范及其他适用于本工程的技术标准、规范、规程。</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1.4.2 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发包人提供国外标准、规范的名称：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1.4.3发包人对工程的技术标准和功能要求的特殊要求：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符合有关行业主管部门和发包人的要求</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1.5 合同文件的优先顺序</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合同文件组成及优先顺序为：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1）合同协议书及补充协议书；（2）中标通知书；（3）投标函及其附录；（4）专用合同条款及其附件；（5）招标文件；（6）通用合同条款；（7）技术标准和要求；（8）图纸；（9）已标价工程量清单；（10）其他合同文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双方有关工程的洽商、变更、会议纪要、双方来往函件(施工过程中的)等书面协议或文件视为本合同的组成部分，对同一事项叙述不一致的，以日期靠后的为准。</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 图纸和承包人文件</w:t>
      </w:r>
      <w:r>
        <w:rPr>
          <w:rFonts w:hint="eastAsia" w:ascii="仿宋" w:hAnsi="仿宋" w:eastAsia="仿宋" w:cs="仿宋"/>
          <w:b/>
          <w:bCs/>
          <w:color w:val="000000" w:themeColor="text1"/>
          <w:sz w:val="24"/>
          <w:szCs w:val="24"/>
          <w:highlight w:val="none"/>
          <w14:textFill>
            <w14:solidFill>
              <w14:schemeClr w14:val="tx1"/>
            </w14:solidFill>
          </w14:textFill>
        </w:rPr>
        <w:tab/>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 图纸的提供</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开工前5天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发包人向承包人提供图纸的数量：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2套(其中1套为编制竣工图所用)，承包人需要更多份数时，可通过发包人复制，费用由承包人自行承担。</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发包人向承包人提供图纸的内容：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已经审核的工程施工全套图纸（发包人不提供所配套的有关图集 ），承包人需要更多份数时，可通过发包人复制，费用由承包人自行承担。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发包人对图纸的保密要求：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除法律规定或合同另有约定外，未经发包人同意，承包人不得因本工程以外的原因复制本工程图纸、相关文件等，不得向第三方提供有关本工程的任何技术资料。</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1.6.4 承包人文件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需要由承包人提供的文件，包括但不限于：</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①按 GB/T50502、本合同第二部分 通用合同条款 7.1 和 7.2 编制施工组织设计、施工措施计划、施工方案、扬尘污染防止措施报监理人审核和发包人确认；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②由承包人办理的许可和批准的办理结果书面报送监理人审核和发包人确认、留存；</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③拟制施工人员名册（动态），并与为其办理工伤保险的有效证明一起报送监理人审核和发包人确认；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④承包人项目管理机构、职责及施工现场人员安排的报告（其内容执行通用条款3.3）和主要施工管理人员与承包人之间的劳动关系证明和缴纳社会保险的有效证明，报送监理人审核和发包人确认；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⑤特殊工种作业人员资格证明报送监理人审核和发包人确认；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⑥项目经理的姓名、职称、联系方式、授权范围等事项，和与承包人之间的正式聘用劳动合同、承包人为其缴纳社会保险的有效证明，一起报送监理人审核和发包人确认；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⑦工程质量管理体系及措施文件、质量检查制度、质量控制文件，报送监理人审核和发包人确认；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⑧工程安全管理体系及措施文件、安全检查制度、安全控制文件，报送监理人审核和发包人确认；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⑨发包人管理需要的其他文件；</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⑩上述文件如发包人因管理需增加时，承包人有义务按发包人提出的形式、格式、数量、时间等要求提供</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承包人提供的文件的期限为：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合同签定后7日内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承包人提供的文件的数量为：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纸质版1套，电子版一套</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承包人提供的文件的形式为：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加盖承包人鲜章（公章）的书面文件及电子版</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发包人审批承包人文件的期限：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1.6.5 现场图纸准备</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关于现场图纸准备的约定：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承包人应在施工现场保存一套完整的图纸和承包人文件，供发包人、监理人及有关人员进行工程检查时使用。</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 联络</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1.7.1发包人和承包人应当在</w:t>
      </w:r>
      <w:r>
        <w:rPr>
          <w:rFonts w:hint="eastAsia" w:ascii="仿宋" w:hAnsi="仿宋" w:eastAsia="仿宋" w:cs="仿宋"/>
          <w:color w:val="000000" w:themeColor="text1"/>
          <w:sz w:val="24"/>
          <w:szCs w:val="24"/>
          <w:highlight w:val="none"/>
          <w:u w:val="single"/>
          <w14:textFill>
            <w14:solidFill>
              <w14:schemeClr w14:val="tx1"/>
            </w14:solidFill>
          </w14:textFill>
        </w:rPr>
        <w:t xml:space="preserve"> 5 </w:t>
      </w:r>
      <w:r>
        <w:rPr>
          <w:rFonts w:hint="eastAsia" w:ascii="仿宋" w:hAnsi="仿宋" w:eastAsia="仿宋" w:cs="仿宋"/>
          <w:color w:val="000000" w:themeColor="text1"/>
          <w:sz w:val="24"/>
          <w:szCs w:val="24"/>
          <w:highlight w:val="none"/>
          <w14:textFill>
            <w14:solidFill>
              <w14:schemeClr w14:val="tx1"/>
            </w14:solidFill>
          </w14:textFill>
        </w:rPr>
        <w:t xml:space="preserve">天内将与合同有关的通知、批准、证明、证书、指示、指令、要求、请求、同意、意见、确定和决定等书面函件送达对方当事人。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1.7.2发包人接收文件的地点：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发包人指定地点；</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发包人派驻现场代表；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现场项目部办公室；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监理人接收文件的地点：</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监理人施工现场办公室；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监理人指定的接收人为：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总监或总监代表。</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1.10 交通运输</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1.10.1 出入现场的权利：</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按发包人要求负责取得出入施工现场所需的批准手续和全部权利，以及取得因施工所需修建道路以及其他基础设施的权利，并承担相关手续费用和建设费用，此费用包含在合同价款内。发包人应协助承包人办理上述手续。</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1.10.3 场内交通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关于场外交通和场内交通的边界的约定：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关于发包人向承包人免费提供满足工程施工需要的场内道路和交通设施的约定：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以现场实际施工条件为准。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1.10.4超大件和超重件的运输</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运输超大件或超重件所需的道路和桥梁临时加固改造费用和其他有关费用由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1.11 知识产权</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1.11.1关于发包人提供给承包人的图纸、发包人为实施工程自行编制或委托编制的技术规范以及反映发包人关于合同要求或其他类似性质的文件的著作权的归属：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1.11.2 关于承包人为实施工程所编制文件的著作权的归属：</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关于承包人提供的上述文件的使用限制的要求：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1.11.4 承包人在施工过程中所采用的专利、专有技术、技术秘密的使用费的承担方式：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1.13工程量清单错误的修正</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出现工程量清单错误时，是否调整合同价格：</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sz w:val="24"/>
          <w:szCs w:val="24"/>
          <w:highlight w:val="none"/>
          <w:u w:val="single"/>
        </w:rPr>
        <w:t xml:space="preserve">执行通用条款</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0"/>
        <w:jc w:val="left"/>
        <w:spacing w:line="360" w:lineRule="auto"/>
        <w:rPr>
          <w:rFonts w:ascii="仿宋" w:hAnsi="仿宋" w:eastAsia="仿宋" w:cs="仿宋"/>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允许调整合同价格的工程量偏差范围：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执行“12.合同价格、计量与支付”相关条款</w:t>
      </w:r>
      <w:r>
        <w:rPr>
          <w:rFonts w:hint="eastAsia" w:ascii="仿宋" w:hAnsi="仿宋" w:eastAsia="仿宋" w:cs="仿宋"/>
          <w:bCs/>
          <w:color w:val="000000" w:themeColor="text1"/>
          <w:sz w:val="24"/>
          <w:szCs w:val="24"/>
          <w:highlight w:val="none"/>
          <w14:textFill>
            <w14:solidFill>
              <w14:schemeClr w14:val="tx1"/>
            </w14:solidFill>
          </w14:textFill>
        </w:rPr>
        <w:t xml:space="preserve">。</w:t>
      </w:r>
      <w:r/>
    </w:p>
    <w:p>
      <w:pPr>
        <w:keepLines/>
        <w:keepNext/>
        <w:rPr>
          <w:rFonts w:ascii="仿宋" w:hAnsi="仿宋" w:eastAsia="仿宋" w:cs="仿宋"/>
          <w:b/>
          <w:bCs/>
          <w:color w:val="000000" w:themeColor="text1"/>
          <w:sz w:val="24"/>
          <w:szCs w:val="24"/>
          <w:highlight w:val="none"/>
          <w14:textFill>
            <w14:solidFill>
              <w14:schemeClr w14:val="tx1"/>
            </w14:solidFill>
          </w14:textFill>
        </w:rPr>
        <w:outlineLvl w:val="3"/>
      </w:pPr>
      <w:r>
        <w:rPr>
          <w:rFonts w:hint="eastAsia" w:ascii="仿宋" w:hAnsi="仿宋" w:eastAsia="仿宋" w:cs="仿宋"/>
          <w:b/>
          <w:bCs/>
          <w:color w:val="000000" w:themeColor="text1"/>
          <w:sz w:val="24"/>
          <w:szCs w:val="24"/>
          <w:highlight w:val="none"/>
          <w14:textFill>
            <w14:solidFill>
              <w14:schemeClr w14:val="tx1"/>
            </w14:solidFill>
          </w14:textFill>
        </w:rPr>
        <w:t xml:space="preserve">2. 发包人</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2.2 发包人代表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发包人代表：</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项目负责人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发包人对发包人代表的授权范围如下：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协助外部环境的协调与配合, 主持工程的竣工验收；负责组织工程质量、进度、安全的检查监督；经发包人授权签署与工程投资有关的各种施工技术变更、施工技术方案和图纸会审纪要等；签字确认经监理工程师核准的分项工程量，并报发包人核准。</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2.4 施工现场、施工条件和基础资料的提供</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2.4.1 提供施工现场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关于发包人移交施工现场的期限要求：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开工通知载明的开工日期7日前。</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2.4.2 提供施工条件</w:t>
      </w:r>
      <w:r/>
    </w:p>
    <w:p>
      <w:pPr>
        <w:ind w:firstLine="60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关于发包人应负责提供施工所需要的条件，包括：</w:t>
      </w:r>
      <w:r/>
    </w:p>
    <w:p>
      <w:pPr>
        <w:ind w:firstLine="60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包人负责提供电源，由承包人从接点接入施工现场。从发包人提供的电源至施工用电设备线路的安装由承包人负责实施，安装费、线路、设备购置费及施工过程中发生的所有电费，无论承包人是否在投标报价中单独列支，发包人均认为此项费用包含在投标报价中。施工过程中，所产生的电费由承包人自行及时向供电部门缴纳，因电费缴纳不及时造成的责任由承包人自行承担，为非发包人责任。</w:t>
      </w:r>
      <w:r/>
    </w:p>
    <w:p>
      <w:pPr>
        <w:ind w:firstLine="60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发包人负责提供水源，由承包人从接点接入施工现场。从发包人提供的水源至施工各用水点的管路安装、布置由承包人负责实施，其安装费、管材、设备购置费及施工过程中发生的所有水费，无论承包人是否在投标报价中单独列支，发包人均认为此项费用包含在投标报价中。水费由承包人购买水表安装计量实际用水量，由承包人按表数缴纳水费。</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2.5资金来源证明及支付担保</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发包人提供资金来源证明的期限要求：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发包人是否提供支付担保：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发包人提供支付担保的形式：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3. 承包人</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3.1 承包人的一般义务：</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承包人提交的竣工资料的内容：</w:t>
      </w:r>
      <w:r>
        <w:rPr>
          <w:rFonts w:hint="eastAsia" w:ascii="仿宋" w:hAnsi="仿宋" w:eastAsia="仿宋" w:cs="仿宋"/>
          <w:color w:val="000000"/>
          <w:sz w:val="24"/>
          <w:szCs w:val="24"/>
          <w:highlight w:val="none"/>
          <w:u w:val="single"/>
        </w:rPr>
        <w:t xml:space="preserve">承包人按照《建设工程文件归档整理规范》及江苏省相关法规、规范标准及本合同要求绘制竣工图及完整的工程技术档案、工程质量保修书、及有关工程使用、维护的说明</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承包人需要提交的竣工资料套数：</w:t>
      </w:r>
      <w:r>
        <w:rPr>
          <w:rFonts w:hint="eastAsia" w:ascii="仿宋" w:hAnsi="仿宋" w:eastAsia="仿宋" w:cs="仿宋"/>
          <w:color w:val="000000"/>
          <w:sz w:val="24"/>
          <w:szCs w:val="24"/>
          <w:highlight w:val="none"/>
          <w:u w:val="single"/>
        </w:rPr>
        <w:t xml:space="preserve">①满足行政主管部门要求且符合属地建设工程档案归档规范要求及属地城建档案馆要求；②向发包人提交盖承包人公章和工程竣工资料专用章的纸质版资料竣工图叁套，竣工资料肆套、电子文档资料一套</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承包人提交的竣工资料的费用承担：</w:t>
      </w:r>
      <w:r>
        <w:rPr>
          <w:rFonts w:hint="eastAsia" w:ascii="仿宋" w:hAnsi="仿宋" w:eastAsia="仿宋" w:cs="仿宋"/>
          <w:color w:val="000000"/>
          <w:sz w:val="24"/>
          <w:szCs w:val="24"/>
          <w:highlight w:val="none"/>
          <w:u w:val="single"/>
        </w:rPr>
        <w:t xml:space="preserve">由承包人承担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承包人提交的竣工资料移交时间：</w:t>
      </w:r>
      <w:r>
        <w:rPr>
          <w:rFonts w:hint="eastAsia" w:ascii="仿宋" w:hAnsi="仿宋" w:eastAsia="仿宋" w:cs="仿宋"/>
          <w:color w:val="000000"/>
          <w:sz w:val="24"/>
          <w:szCs w:val="24"/>
          <w:highlight w:val="none"/>
          <w:u w:val="single"/>
        </w:rPr>
        <w:t xml:space="preserve">工程竣工验收合格之日起28日内完成移交，若逾期提交，发包人有权暂停支付工程款</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承包人提交的竣工资料形式要求：</w:t>
      </w:r>
      <w:r>
        <w:rPr>
          <w:rFonts w:hint="eastAsia" w:ascii="仿宋" w:hAnsi="仿宋" w:eastAsia="仿宋" w:cs="仿宋"/>
          <w:color w:val="000000"/>
          <w:sz w:val="24"/>
          <w:szCs w:val="24"/>
          <w:highlight w:val="none"/>
          <w:u w:val="single"/>
        </w:rPr>
        <w:t xml:space="preserve">立卷、装订成册的纸质文档和电子文档</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承包人应履行的其他义务：</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⑴施工过程中的排污、环保、渣土、环卫、市容、城建、城管、治安、人口管理等相关手续以及施工过程中需要办理的相关批复手续由承包人按规定负责办理并承担因此产生的一切费用，施工时对临近居民和行人的干扰及影响由承包人负责处理并承担一切责任，如因与临近居民或行人发生冲突，导致工程停工，所有停工损失及其产生的费用由承包人承担，结算时不再调整。若因上述原因引起相关部门的处罚，则由承包人承担处罚的费用，并从工程款中扣除</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⑵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承包人在施工现场负责工地安全保卫，维护工地治安，协调与周边环境的劳务纠纷，杜绝施工人员在工地斗殴。如承包人未履行上述义务造成工程财产、人身伤害等，由承包人承担全部责任</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⑶承包人负责采取有效措施对已完成工程成品的保护，费用由承包人承担。保护期间发生的损坏承包人自费予以修理。损坏其他单位所承担的施工内容，由承包人负责赔偿，并承担修复费用</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⑷符合徐州市有关部门规定的标准化施工现场要求，同时应满足市政、市容等相关主管部门的有关规定。道路施工工地一律实行封闭施工、防尘网覆盖、定时洒水，控制扬尘污染等安全文明施工措施。不符合要求者，承包人应承担2000元/次的违约金。承包人违反规定所造成的损失和处罚由承包人承担。承包人负责在竣工验收合格后十日内将施工现场彻底清洁完毕，承包人拒绝清洁的，发包人有权安排其他施工单位修复，所需费用从承包人工程款中扣除</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⑸承担施工安全保卫工作及非夜间施工照明的责任和要求：由承包人按建设行政管理部门和相关部门的要求自行承担，并设置明显警示标志和专职人员维护公共安全</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⑹需承包人办理的有关施工场地交通、环卫和施工噪音管理等手续：由承包人负责承担，费用也由承包方承担并综合考虑在投标报价内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⑺已完工程成品保护的特殊要求及费用承担：由承包人负责承担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⑻施工场地清洁卫生和要求：应按建设行政主管部门和相关部门的规定办理，所需费用由承包人负担</w:t>
      </w:r>
      <w:r>
        <w:rPr>
          <w:rFonts w:hint="eastAsia" w:ascii="仿宋" w:hAnsi="仿宋" w:eastAsia="仿宋" w:cs="仿宋"/>
          <w:color w:val="000000"/>
          <w:sz w:val="24"/>
          <w:szCs w:val="24"/>
          <w:highlight w:val="none"/>
        </w:rPr>
        <w:t xml:space="preserve">。</w:t>
      </w:r>
      <w:r/>
    </w:p>
    <w:p>
      <w:pPr>
        <w:ind w:firstLine="480"/>
        <w:spacing w:line="2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⑼承包人负责在需要的时间和地点，自费提供和维护有灯光、护板、格栅警告信号和警卫，以及对工程进行保护或为公众提供安全和方便。承包人负责在工程施工整个过程中施工现场在承包范围内全部人员的安全。发包人不承担承包人或其内部班组雇</w:t>
      </w:r>
      <w:r>
        <w:rPr>
          <w:rFonts w:hint="eastAsia" w:ascii="仿宋" w:hAnsi="仿宋" w:eastAsia="仿宋" w:cs="仿宋"/>
          <w:color w:val="000000"/>
          <w:sz w:val="24"/>
          <w:szCs w:val="24"/>
          <w:highlight w:val="none"/>
          <w:u w:val="single"/>
          <w:lang w:val="en-US" w:eastAsia="zh-CN"/>
        </w:rPr>
        <w:t xml:space="preserve">佣</w:t>
      </w:r>
      <w:r>
        <w:rPr>
          <w:rFonts w:hint="eastAsia" w:ascii="仿宋" w:hAnsi="仿宋" w:eastAsia="仿宋" w:cs="仿宋"/>
          <w:color w:val="000000"/>
          <w:sz w:val="24"/>
          <w:szCs w:val="24"/>
          <w:highlight w:val="none"/>
          <w:u w:val="single"/>
        </w:rPr>
        <w:t xml:space="preserve">工人或其他人员的伤亡赔偿或补偿责任。承包人在施工现场的安全管理、教育和安全事故的责任由承包人承担。因承包人未履行上述义务给发包方造成的损失及财产损失的，承包方应负全部的赔偿责任</w:t>
      </w:r>
      <w:r>
        <w:rPr>
          <w:rFonts w:hint="eastAsia" w:ascii="仿宋" w:hAnsi="仿宋" w:eastAsia="仿宋" w:cs="仿宋"/>
          <w:color w:val="000000"/>
          <w:sz w:val="24"/>
          <w:szCs w:val="24"/>
          <w:highlight w:val="none"/>
        </w:rPr>
        <w:t xml:space="preserve">。</w:t>
      </w:r>
      <w:r/>
    </w:p>
    <w:p>
      <w:pPr>
        <w:contextualSpacing/>
        <w:ind w:firstLine="48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⑽承包人应积极配合各类上级主管部门的各项检查及验收工作等，并积极做好各项迎检工作，所产生费用由承包人承担。若承包人拒绝配合，发包人有权安排其他施工单位配合，所需费用从承包人工程款中扣除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⑾应提供计划、报表的名称及完成时间：按周提供，每周日之前提供当周完成进度及下周施工计划</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⑿承包人按规定做好施工场地周围地下管线和邻近建筑物的保护</w:t>
      </w:r>
      <w:r>
        <w:rPr>
          <w:rFonts w:hint="eastAsia" w:ascii="仿宋" w:hAnsi="仿宋" w:eastAsia="仿宋" w:cs="仿宋"/>
          <w:color w:val="000000"/>
          <w:sz w:val="24"/>
          <w:szCs w:val="24"/>
          <w:highlight w:val="none"/>
        </w:rPr>
        <w:t xml:space="preserve">。</w:t>
      </w:r>
      <w:r/>
    </w:p>
    <w:p>
      <w:pPr>
        <w:contextualSpacing/>
        <w:ind w:firstLine="420"/>
        <w:jc w:val="left"/>
        <w:spacing w:before="240" w:after="24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⒀向发包人提供的办公和生活房屋及设施的要求：发包人驻施工现场管理人员必要的办公用房及设施由承包人负责免费提供</w:t>
      </w:r>
      <w:r>
        <w:rPr>
          <w:rFonts w:hint="eastAsia" w:ascii="仿宋" w:hAnsi="仿宋" w:eastAsia="仿宋" w:cs="仿宋"/>
          <w:color w:val="000000"/>
          <w:sz w:val="24"/>
          <w:szCs w:val="24"/>
          <w:highlight w:val="none"/>
        </w:rPr>
        <w:t xml:space="preserve">。</w:t>
      </w:r>
      <w:r/>
    </w:p>
    <w:p>
      <w:pPr>
        <w:contextualSpacing/>
        <w:ind w:firstLine="480"/>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⒁承包人勘查现场后已经在施工组织设计中体现：1.承包人与现场其他施工企业保持有序、顺利施工的措施方案；2.现场分段施工的措施方案；3.现场开辟新临时通道的方案，且承包人必须考虑完成以上3点所要增加的一切费用。发包人在临时设施费用中为承包人综合考虑了以上费用，承包人自主报价，结算时</w:t>
      </w:r>
      <w:r>
        <w:rPr>
          <w:rFonts w:hint="eastAsia" w:ascii="仿宋" w:hAnsi="仿宋" w:eastAsia="仿宋" w:cs="仿宋"/>
          <w:color w:val="000000"/>
          <w:sz w:val="24"/>
          <w:szCs w:val="24"/>
          <w:highlight w:val="none"/>
          <w:u w:val="single"/>
        </w:rPr>
        <w:t xml:space="preserve">发包人</w:t>
      </w:r>
      <w:r>
        <w:rPr>
          <w:rFonts w:hint="eastAsia" w:ascii="仿宋" w:hAnsi="仿宋" w:eastAsia="仿宋" w:cs="仿宋"/>
          <w:color w:val="000000"/>
          <w:sz w:val="24"/>
          <w:szCs w:val="24"/>
          <w:highlight w:val="none"/>
          <w:u w:val="single"/>
        </w:rPr>
        <w:t xml:space="preserve">不再支付与以上3点关联的任何费用</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承包人必须对工程现场施工人员全部实行实名制考勤管理，签订劳动合同，设立工资存储专户，按照工程进度和工人实名制登记信息，按月足额由银行代发工资</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(15)如施工现场发现地下埋藏文物、古迹， 承包人应当及时报告文物管理部门，并负责保护现场，防止破坏和灭失。因此引起的工期损失或施工合同重大变更，按《文物保护法》和国务院颁布的《文物保护法实施条例》以及《徐州市文物保护管理条例》执行</w:t>
      </w:r>
      <w:r>
        <w:rPr>
          <w:rFonts w:hint="eastAsia" w:ascii="仿宋" w:hAnsi="仿宋" w:eastAsia="仿宋" w:cs="仿宋"/>
          <w:color w:val="00000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ascii="仿宋" w:hAnsi="仿宋" w:eastAsia="仿宋" w:cs="仿宋"/>
          <w:b/>
          <w:bCs/>
          <w:color w:val="000000" w:themeColor="text1"/>
          <w:sz w:val="24"/>
          <w:szCs w:val="24"/>
          <w:highlight w:val="none"/>
          <w14:textFill>
            <w14:solidFill>
              <w14:schemeClr w14:val="tx1"/>
            </w14:solidFill>
          </w14:textFill>
        </w:rPr>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3.2 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3.2.1 项目经理：</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身份证号：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建造师执业资格等级：</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建造师注册证书号：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建造师执业印章号：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安全生产考核合格证书号：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承包人对项目经理的授权范围如下：</w:t>
      </w:r>
      <w:r>
        <w:rPr>
          <w:rFonts w:hint="eastAsia" w:ascii="仿宋" w:hAnsi="仿宋" w:eastAsia="仿宋" w:cs="仿宋"/>
          <w:color w:val="000000" w:themeColor="text1"/>
          <w:sz w:val="24"/>
          <w:szCs w:val="24"/>
          <w:highlight w:val="none"/>
          <w:u w:val="single"/>
          <w14:textFill>
            <w14:solidFill>
              <w14:schemeClr w14:val="tx1"/>
            </w14:solidFill>
          </w14:textFill>
        </w:rPr>
        <w:t xml:space="preserve">对工程质量、安全、进度和文明施工全面负责，并完成承包人应做的各项工作。</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关于项目经理每月在施工现场的时间要求： </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开工之日到竣工结束，项目经理每周不少于5天，每天必须不少于8小时在现场组织施工。</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承包人未提交劳动合同，以及没有为项目经理缴纳社会保险证明的违约责任：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由承包人自行承担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项目经理未经批准，擅自离开施工现场的违约责任：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每查实一次向发包人支付违约金2000元，费用从当期应付工程款中直接扣除。如有特殊情况离开现场，应提前报请监理人、发包人同意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3.2.2承包人如未经发包人同意承包人擅自更换项目经理，或发包人认为承包人委派的项目经理工作能力和业务水平不称职，需重新委派称职项目经理时，则视为承包人委派的项目经理因故不能履行职责的行为；承包人项目经理因故不能履责的，承包人法定代表人自愿出任项目经理代行履责，否则，发包人有权解除合同，承包人并应承担违约责任。</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3.2.3 承包人擅自更换项目经理的违约责任：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的项目经理必须按投标文件中选派的项目经理按时到位并亲临现场组织本工程项目的施工，在施工期间如有特殊情况需离开，必须报经发包人同意。如未告知，造成的一切后果由承包人承担，如造成较大影响及经济损失，发包人有权解除合同。承包人不能擅自更换项目经理，如确需更换，须以相同资历人员代替并提前7天向监理人、发包人申请，获得批准后方可更换，否则每擅自更换一次，发包人有权在进度款中扣除3万元，作为承包人的违约金。</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outlineLvl w:val="0"/>
      </w:pPr>
      <w:r>
        <w:rPr>
          <w:rFonts w:hint="eastAsia" w:ascii="仿宋" w:hAnsi="仿宋" w:eastAsia="仿宋" w:cs="仿宋"/>
          <w:color w:val="000000" w:themeColor="text1"/>
          <w:sz w:val="24"/>
          <w:szCs w:val="24"/>
          <w:highlight w:val="none"/>
          <w14:textFill>
            <w14:solidFill>
              <w14:schemeClr w14:val="tx1"/>
            </w14:solidFill>
          </w14:textFill>
        </w:rPr>
        <w:t xml:space="preserve">3.2.4 承包人无正当理由拒绝更换项目经理的违约责任：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若发包人认为承包人委派的项目经理工作能力和业务水平不称职，承包人应尽快撤回项目经理，并重新委派具备相应工作能力及业务水平的项目经理，委派人员应书面报监理人审核确认，并书面报送发包人存档备查，否则视为违约，发包人有权在的进度款中扣除2万元直至终止施工合同并没收履约保证金，由此所造成的一切经济损失及后果均由承包人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3.3 承包人人员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3.3.1 承包人提交项目管理机构及施工现场管理人员安排报告的期限：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合同签订后，开工前7日内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3.3.3 承包人无正当理由拒绝撤换主要施工管理人员的违约责任：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认为承包人委派的人员的工作能力和业务水平不称职，承包人应尽快撤回上述人员，并重新委派具备相应工作能力及业务水平的称职人员，委派人员应书面报监理人审核确认，并书面报送发包人存档备查，否则视为违约，发包人有权在进度款中扣除1万元直至终止施工合同并没收履约保证金，由不称职人员所造成的一切经济损失及后果均由承包人承担。</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3.3.4 承包人主要施工管理人员离开施工现场的批准要求：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提前报请监理人、发包人同意后方可离场。</w:t>
      </w:r>
      <w:r/>
    </w:p>
    <w:p>
      <w:pPr>
        <w:ind w:firstLine="54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3.3.5承包人擅自更换主要施工管理人员的违约责任：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施工期间承包人派驻现场的主要施工管理人员必须与投标文件的人员名单保持一致,如不一致，按照10000元/人的标准支付违约金。费用从工程预付款中直接扣除。如有特殊情况确需调整人员配置，承包人应报请监理人、发包人同意后方可调整。</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承包人主要施工管理人员擅自离开施工现场的违约责任：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每查实一次支付违约金1000元/人次，费用从当期应付工程款中直接扣除。如有特殊情况离开现场，应提前报请监理人、发包人同意。</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3.5 分包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3.5.1 分包的一般约定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禁止分包的工程包括：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除本合同3.5.2条允许分包的专业工程外的其他所有承包人承包范围内的工程。</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主体结构、关键性工作的范围：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3.5.2分包的确定</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允许分包的专业工程包括：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执行国家相关法律、法规规定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其他关于分包的约定：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（1）承包人应经发包人同意依法确定专业分包承包单位，并完成分包合同备案、办理相应的质检、安监手续（如有）。（2）专业分包合同必须报发包人和监理人，并纳入总承包管理范围。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3.5.4 分包合同价款</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关于分包合同价款支付的约定：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由承包人根据分包合同支付 。</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3.6 工程照管与成品、半成品保护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承包人负责照管工程及工程相关的材料、工程设施的起始时间：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工程施工开始至竣工验收合格并办理完工程移交手续止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3.7 履约担保</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承包人是否提供履约担保：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是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承包人提供履约担保的形式、金额及期限的：</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履约保证金的金额：</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b/>
          <w:color w:val="000000" w:themeColor="text1"/>
          <w:sz w:val="24"/>
          <w:szCs w:val="24"/>
          <w:highlight w:val="none"/>
          <w14:textFill>
            <w14:solidFill>
              <w14:schemeClr w14:val="tx1"/>
            </w14:solidFill>
          </w14:textFill>
        </w:rPr>
        <w:t xml:space="preserve"> 万元整（签约合同总价的10%），承包人在本合同签订前按上述形式向发包人提交，否则发包人可以取消其中标资格。</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履约保证金的形式：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履约保证金应当以支票、本票、汇票或金融机构、担保机构出具的保函等非现金形式提交</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sz w:val="24"/>
          <w:szCs w:val="24"/>
          <w:highlight w:val="none"/>
          <w:u w:val="single"/>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履约保证金的返还：</w:t>
      </w:r>
      <w:r>
        <w:rPr>
          <w:rFonts w:hint="eastAsia" w:ascii="仿宋" w:hAnsi="仿宋" w:eastAsia="仿宋" w:cs="仿宋"/>
          <w:color w:val="000000"/>
          <w:sz w:val="24"/>
          <w:szCs w:val="24"/>
          <w:highlight w:val="none"/>
          <w:u w:val="single"/>
        </w:rPr>
        <w:t xml:space="preserve">质保期满结算违约赔偿（如有）后7个工作日内无息退还，保修期内，由承包人原因造成的缺陷，承包人应负责维修，并承担鉴定及维修费用。如承包人不维修也不承担费用，发包人可按合同约定从履约保证金中扣除，费用超出的，发包人可按合同约定向承包人进行索赔。承包人维修并承担相应费用后，不免除对工程的损失赔偿责任。</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履约保证金不予退还情形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：①承包人不履行与发包人订立的合同的，履约保证金不予退还。②项目验收结果不合格的，履约保证金将不予退还。③其他违反国家相关法律法规及本合同相关约定的情形。</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4. 监理人（如有）</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4.1监理人的一般规定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监理人需根据与发包人签订的委托监理合同约定履行职责、行使权力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关于监理人的监理权限：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委托监理人对工程实施全过程、全方位监督管理。在合同所载所有项目中，承包人的一切请示、报批、事件确认、验收申请等，必须遵循上报监理人核验、复核、发包人审核的程序执行，经发包人审批后的结论按该程序逆向传达并由监理人最后下达。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发生紧急情况，是指可能造成人员伤亡，或危及本工程或邻近的财产而需立即采取行动，监理工程师有权在向发包人汇报的同时发布处理紧急情况所必需的指令，承包人应予以执行。</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须经发包人事先批准行使的权力如下（包含但不限于）：</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 发布开工令、暂时停工或复工令；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 审查技术规范（规定）或设计的变更，经发包人同意后批准实施；</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 审核索赔额与现场签证，并上报发包人；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 本工程中所有涉及改变技术类、经济类的文件。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关于监理人在施工现场的办公场所、生活场所的提供和费用承担的约定：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由承包人提供并承担费用</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4.2 监理人员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总监理工程师：</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姓    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职    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监理工程师执业资格证书号：</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联系电话：</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电子信箱：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通信地址：</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关于监理人的其他约定：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4.4 商定或确定</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在发包人和承包人不能通过协商达成一致意见时，发包人授权监理人对以下事项进行确定：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具体工序质量的判定 。</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5. 工程质量</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5.1 质量要求</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5.1.1 特殊质量标准和要求：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合格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关于工程奖项的约定：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5.3 隐蔽工程检查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5.3.2承包人提前通知监理人隐蔽工程检查的期限的约定：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监理人不能按时进行检查时，应提前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8</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24</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6. 安全文明施工与环境保护</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6.1安全文明施工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6.1.1 项目安全生产的达标目标及相应事项的约定：</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在本合同实施过程中，承包人应对现场施工人员及现场其他第三人的安全、现场施工秩序、工程保护、环境保护、消防、用电安全等负责，并就工地照明、防护标志和警示信号设置、门卫人员配置等作出具体安排，充分考虑施工的特殊性，确保安全生产无事故，并承担相关的责任和损失。</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（2）施工过程中的排污、渣土、环卫、市容、城建、城管、治安等相关手续由承包人按规定负责办理并承担因此产生的一切费用。</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（3）承包人负责采取有效措施对已完成工程成品的保护，费用由承包人承担。保护期间发生的损坏承包人自费予以修理。损坏其他单位所承担的施工内容，由承包人负责赔偿，并承担修复费用。</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（4）承包人按规定做好施工场地周围地下管线和邻近建筑物的保护。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（5）其安全文明施工费已经含在合同价款（即中标价）内。</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（6）消防设备：在施工期间，承包人应按需要提供灭火器、沙桶和其它有效的消防设备，应符合当地政府法规及其它由工程师规定的要求。</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（7）承包人负责在工程施工至竣工前及保修过程中施工现场全部承包方、相应工作人员及施工现场第三方人员的安全。发包人不承担承包人及其分包单位雇工或其他施工现场第三方人员的伤亡赔偿或补偿责任。</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（8）承包人在施工现场的安全管理、教育和安全事故的责任皆由承包人自行承担。承包人违反安全施工的有关规定，其责任及所发生的一切费用由承包人自行承担。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应遵守工程建设安全生产有关管理规定，严格按现行安全标准组织施工，并随时接受行业安全检查人员、监理方和甲方的监督检查，采取必要的安全防护措施，消除事故隐患，安全文明施工费用已经含在合同价款（即中标价）内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6.1.4 关于治安保卫的特别约定：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执行通用条款，并根据发包人和监理人批准的施工组织设计和工程的具体情况采取相应的防护措施承担施工安全保卫工作及夜间施工照明的责任，费用由承包方负责。</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关于编制施工场地治安管理计划的约定：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开工通知载明的开工日期7天前提交施工场地治安管理计划。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6.1.5 文明施工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合同当事人对文明施工的要求：</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符合徐州市有关部门规定的标准化施工现场要求，同时应满足市政、市容等相关主管部门的有关规定 。</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按照《徐州市市区工地扬尘污染防</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治管理规范》的要求，制定并落实扬尘污染防治措施；开工前 15 日内向项目所在地环境保护行政主管部门进行排污申报；道路施工工地一律实行封闭施工、施工便道硬化、防尘网覆盖、定时洒水等控制扬尘污染措施；扬尘污染防治设施应当保持完好、正常运行，不得擅自拆除和闲置；确需拆除和闲置的，应当报经环境保护行政主管部门批准；拆除、开挖后的建筑垃圾必须当日清除，并且覆盖运输，如因建筑垃圾未及时清理或运输不当，造成工地周边扬尘及其他给发包人带来不利影响的事件，每查实一次向发包人支付 3000 元违约金；造成损失的，由承包人承担。</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承包人不得以现场增加投入、赶工等借口拖延工期或申请追加合同金额，否则视为违约。</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交工后一周内彻底清洁完毕撤离现场。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6.1.6 关于安全文明施工费支付比例和支付期限的约定：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含在合同工程款中支付。</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7. 工期和进度</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7.1 施工组织设计</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7.1.1 合同当事人约定的施工组织设计应包括的其他内容：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1）施工方案；（2）施工现场平面布置图；（3）施工进度计划和保证措施；（4）劳动力及材料供应计划；（5）施工机械设备的选用；（6）质量保证体系及措施；（7）安全生产、文明施工措施；（8）环境保护、成本控制措施；（9）合同当事人约定的其它内容。</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7.1.2 施工组织设计的提交和修改</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承包人提交详细施工组织设计的期限的约定：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开工前7天</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发包人和监理人在收到详细的施工组织设计后确认或提出修改意见的期限：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7.2 施工进度计划</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7.2.2 施工进度计划的修订</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发包人和监理人在收到修订的施工进度计划后确认或提出修改意见的期限：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收到后7天内 。施工期间，承包人每周日前向监理工程师报送下周的“周进度工程计划表”，经监理工程师审核和发包人代表确认后，应于2日内返回承包人；“周进度工程计划表”如需修改时，应于2日内发回承包人修改，承包人须于次日报送修改稿。 </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7.3 开工</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7.3.1 开工准备</w:t>
      </w:r>
      <w:r/>
    </w:p>
    <w:p>
      <w:pPr>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关于承包人提交工程开工报审表的期限：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合同签订后、开工前。</w:t>
      </w:r>
      <w:r/>
    </w:p>
    <w:p>
      <w:pPr>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关于发包人应完成的其他开工准备工作及期限：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关于承包人应完成的其他开工准备工作及期限：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7.3.2开工通知</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因发包人原因造成监理人未能在计划开工日期之日起</w:t>
      </w:r>
      <w:r>
        <w:rPr>
          <w:rFonts w:hint="eastAsia" w:ascii="仿宋" w:hAnsi="仿宋" w:eastAsia="仿宋" w:cs="仿宋"/>
          <w:bCs/>
          <w:sz w:val="24"/>
          <w:szCs w:val="24"/>
          <w:highlight w:val="none"/>
          <w:u w:val="single"/>
        </w:rPr>
        <w:t xml:space="preserve">30</w:t>
      </w:r>
      <w:r>
        <w:rPr>
          <w:rFonts w:hint="eastAsia" w:ascii="仿宋" w:hAnsi="仿宋" w:eastAsia="仿宋" w:cs="仿宋"/>
          <w:sz w:val="24"/>
          <w:szCs w:val="24"/>
          <w:highlight w:val="none"/>
        </w:rPr>
        <w:t xml:space="preserve">天内发出开工通知的，承包人有权提出价格调整要求，或者解除合同。</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7.4 测量放线</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7.4.1发包人通过监理人向承包人提供测量基准点、基准线和水准点及其书面资料的期限：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7.5 工期延误</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7.5.1 因发包人原因导致工期延误</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由于发包人原因导致的工期延误,工期可相应顺延。发包人的延误仅顺延工期, 合同工期作相应调整,承包人不得提出任何其他补偿或索赔费用。</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（7）因发包人原因导致工期延误的其他情形：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7.5.2 因承包人原因导致工期延误</w:t>
      </w:r>
      <w:r/>
    </w:p>
    <w:p>
      <w:pPr>
        <w:ind w:firstLine="480"/>
        <w:jc w:val="left"/>
        <w:spacing w:line="360" w:lineRule="auto"/>
        <w:rPr>
          <w:rFonts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因承包人原因造成工期延误，逾期竣工违约金的计算方法为：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1）工期每逾期1天，每天按5000元计算违约金，且发包人有权采取任何补救措施来弥补该延误，由此增加的费用由承包人承担。（2）因承包人自身原因，达不到合同约定的工程质量标准，同时承包人自愿进行整改的，其整改所总时间计算在合同总工期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因承包人原因造成工期延误，逾期竣工违约金的上限：</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合同总价的20%</w:t>
      </w:r>
      <w:r>
        <w:rPr>
          <w:rFonts w:hint="eastAsia" w:ascii="仿宋" w:hAnsi="仿宋" w:eastAsia="仿宋" w:cs="仿宋"/>
          <w:b/>
          <w:bCs/>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7.6 不利物质条件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不利物质条件的其他情形和有关约定：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7.7异常恶劣的气候条件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发包人和承包人同意以下情形视为异常恶劣的气候条件：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7.9 提前竣工的奖励</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7.9.2提前竣工的奖励：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8. 材料与设备</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8.4材料与工程设备的保管与使用</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8.4.1发包人供应的材料设备的保管费用的承担：</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承包人承担</w:t>
      </w:r>
      <w:r>
        <w:rPr>
          <w:rFonts w:hint="eastAsia" w:ascii="仿宋" w:hAnsi="仿宋" w:eastAsia="仿宋" w:cs="仿宋"/>
          <w:color w:val="000000" w:themeColor="text1"/>
          <w:sz w:val="24"/>
          <w:szCs w:val="24"/>
          <w:highlight w:val="none"/>
          <w:u w:val="single"/>
          <w14:textFill>
            <w14:solidFill>
              <w14:schemeClr w14:val="tx1"/>
            </w14:solidFill>
          </w14:textFill>
        </w:rPr>
        <w:tab/>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8.6 样品</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8.6.1</w:t>
      </w:r>
      <w:r>
        <w:rPr>
          <w:rFonts w:hint="eastAsia" w:ascii="仿宋" w:hAnsi="仿宋" w:eastAsia="仿宋" w:cs="仿宋"/>
          <w:color w:val="000000" w:themeColor="text1"/>
          <w:sz w:val="24"/>
          <w:szCs w:val="24"/>
          <w:highlight w:val="none"/>
          <w14:textFill>
            <w14:solidFill>
              <w14:schemeClr w14:val="tx1"/>
            </w14:solidFill>
          </w14:textFill>
        </w:rPr>
        <w:tab/>
      </w:r>
      <w:r>
        <w:rPr>
          <w:rFonts w:hint="eastAsia" w:ascii="仿宋" w:hAnsi="仿宋" w:eastAsia="仿宋" w:cs="仿宋"/>
          <w:color w:val="000000" w:themeColor="text1"/>
          <w:sz w:val="24"/>
          <w:szCs w:val="24"/>
          <w:highlight w:val="none"/>
          <w14:textFill>
            <w14:solidFill>
              <w14:schemeClr w14:val="tx1"/>
            </w14:solidFill>
          </w14:textFill>
        </w:rPr>
        <w:t xml:space="preserve">样品的报送与封存</w:t>
      </w:r>
      <w:r/>
    </w:p>
    <w:p>
      <w:pPr>
        <w:ind w:firstLine="42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需要承包人报送样品的材料或工程设备，样品的种类、名称、规格、数量要求：</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按发包人要求确定。</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8.8 施工设备和临时设施</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8.8.1 承包人提供的施工设备和临时设施</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关于修建临时设施费用承担的约定：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已包含在合同总价中，结算时不调整。另外发包人驻施工现场管理人员必要的办公用房及设施由承包人负责免费提供。</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9. 试验与检验</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9.1试验设备与试验人员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9.1.2 试验设备</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施工现场需要配置的试验场所：</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施工现场需要配备的试验设备：</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施工现场需要具备的其他试验条件：</w:t>
      </w:r>
      <w:r>
        <w:rPr>
          <w:rFonts w:hint="eastAsia" w:ascii="仿宋" w:hAnsi="仿宋" w:eastAsia="仿宋" w:cs="仿宋"/>
          <w:color w:val="000000" w:themeColor="text1"/>
          <w:sz w:val="24"/>
          <w:szCs w:val="24"/>
          <w:highlight w:val="none"/>
          <w:u w:val="single"/>
          <w14:textFill>
            <w14:solidFill>
              <w14:schemeClr w14:val="tx1"/>
            </w14:solidFill>
          </w14:textFill>
        </w:rPr>
        <w:t xml:space="preserve">符合相关规范规定，满足施工材料、施工工序自检需要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9.4 现场工艺试验 </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现场工艺试验的有关约定：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10. 变更</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10.1变更的范围</w:t>
      </w:r>
      <w:r/>
    </w:p>
    <w:p>
      <w:pPr>
        <w:ind w:firstLine="60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关于变更的范围的约定：</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除设计变更、现场签证和新增（减）工程外,其余均不作调整；设计变更须经设计院、监理工程师和发包人代表签字认可，现场签证、新增（减）工程须监理工程师和发包人代表签字认可，且以上都需跟踪审计单位审核确认。</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10.4 变更估价</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10.4.1 变更估价原则</w:t>
      </w:r>
      <w:r/>
    </w:p>
    <w:p>
      <w:pPr>
        <w:ind w:firstLine="480"/>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关于变更估价的约定：</w:t>
      </w:r>
      <w:r/>
    </w:p>
    <w:p>
      <w:pPr>
        <w:ind w:firstLine="480"/>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（1）现场签证及设计变更引起新增工程量清单项目，在施工过程中经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跟踪审计单位（如有）、监理单位、</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发包人代表确认后，其综合单价结算时按以下原则调整：</w:t>
      </w:r>
      <w:r>
        <w:rPr>
          <w:rFonts w:hint="eastAsia" w:ascii="仿宋" w:hAnsi="仿宋" w:eastAsia="仿宋" w:cs="仿宋"/>
          <w:color w:val="000000" w:themeColor="text1"/>
          <w:sz w:val="24"/>
          <w:szCs w:val="24"/>
          <w:highlight w:val="none"/>
          <w:u w:val="single"/>
          <w14:textFill>
            <w14:solidFill>
              <w14:schemeClr w14:val="tx1"/>
            </w14:solidFill>
          </w14:textFill>
        </w:rPr>
        <w:t xml:space="preserve">①合同中已有适用的固定单价，按合同中已有的固定单价结算；②合同中有类似单价的，参照类似单价重新组价；③合同中没有适用或类似的综合单价的，</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按招标控制价计价办法计算，并乘以中标价与招标控制价的下浮比率作为结算依据。</w:t>
      </w:r>
      <w:r/>
    </w:p>
    <w:p>
      <w:pPr>
        <w:ind w:firstLine="480"/>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（2）对于在施工期间出台的有关政策导致规费、税金发生变化的，按相关规定进行调整；</w:t>
      </w:r>
      <w:r/>
    </w:p>
    <w:p>
      <w:pPr>
        <w:ind w:firstLine="480"/>
        <w:jc w:val="left"/>
        <w:spacing w:line="360" w:lineRule="auto"/>
        <w:rPr>
          <w:rFonts w:ascii="仿宋" w:hAnsi="仿宋" w:eastAsia="仿宋" w:cs="仿宋"/>
          <w:bCs/>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（3）发包人保留在施工过程中增加或取消工程内容的权利，承包人应无条件配合；</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bCs/>
          <w:color w:val="000000" w:themeColor="text1"/>
          <w:sz w:val="24"/>
          <w:szCs w:val="24"/>
          <w:highlight w:val="none"/>
          <w:u w:val="single"/>
          <w14:textFill>
            <w14:solidFill>
              <w14:schemeClr w14:val="tx1"/>
            </w14:solidFill>
          </w14:textFill>
        </w:rPr>
        <w:t xml:space="preserve">（4）清单项目中特征描述不全的工序，如图纸已明确或已指明引用的规范、图集等或是常规工艺的工序，均视为全部包括在投标报价中，结算时综合单价不做调整。</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10.5承包人的合理化建议</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监理人审查承包人合理化建议的期限：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发包人审批承包人合理化建议的期限：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2日历天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承包人提出的合理化建议降低了合同价格或者提高了工程经济效益的奖励的方法和金额为：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11. 价格调整</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11.1 市场价格波动引起的调整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市场价格波动是否调整合同价格的约定：</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承包人应充分考虑施工期间各类建材的市场风险，合同约定由承包人供应的材料，其价格除招标文件约定的风险外，今后不作调整。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因市场价格波动调整合同价格，采用以下第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种方式对合同价格进行调整：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第1种方式：采用价格指数进行价格调整。</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关于各可调因子、定值和变值权重，以及基本价格指数及其来源的约定：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第2种方式：采用造价信息进行价格调整。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（2）关于基准价格的约定：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专用合同条款①承包人在已标价工程量清单或预算书中载明的材料单价低于基准价格的：专用合同条款合同履行期间材料单价涨幅以基准价格为基础超过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%时，或材料单价跌幅以已标价工程量清单或预算书中载明材料单价为基础超过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②承包人在已标价工程量清单或预算书中载明的材料单价高于基准价格的：专用合同条款合同履行期间材料单价跌幅以基准价格为基础超过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%时，材料单价涨幅以已标价工程量清单或预算书中载明材料单价为基础超过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645"/>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③承包人在已标价工程量清单或预算书中载明的材料单价等于基准单价的：专用合同条款合同履行期间材料单价涨跌幅以基准单价为基础超过±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%时，其超过部分据实调整。</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第3种方式：其他价格调整方式：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12. 合同价格、计量与支付</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12.1 合同价格形式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综合单价包含的风险范围：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a人工费调增的风险；b除第11条约定外材料费、机械费结算不予调整，措施费不予调整；c合同和招标文件中明示及隐含的风险及有经验的承包商可以或应该预见的，为完成整体工程内容所必须考虑的风险；d一周内非承包人原因停水、停电造成累计停工在八小时以内的风险；e清单项目中特征描述不全的工序，如图纸已明确或已指明引用的规范、图集等或是常规工艺必须的工序，均应包括在综合单价中。</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总价包含的风险范围：</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风险费用的计算方法：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风险范围以外合同价格的调整方法：</w:t>
      </w:r>
      <w:r>
        <w:rPr>
          <w:rFonts w:hint="eastAsia" w:ascii="仿宋" w:hAnsi="仿宋" w:eastAsia="仿宋" w:cs="仿宋"/>
          <w:color w:val="000000" w:themeColor="text1"/>
          <w:sz w:val="24"/>
          <w:szCs w:val="24"/>
          <w:highlight w:val="none"/>
          <w:u w:val="single"/>
          <w14:textFill>
            <w14:solidFill>
              <w14:schemeClr w14:val="tx1"/>
            </w14:solidFill>
          </w14:textFill>
        </w:rPr>
        <w:t xml:space="preserve">  风险费用已包含在合同价中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12.2 预付款</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预付款支付比例或金额：</w:t>
      </w:r>
      <w:r>
        <w:rPr>
          <w:rFonts w:hint="eastAsia" w:ascii="仿宋" w:hAnsi="仿宋" w:eastAsia="仿宋" w:cs="仿宋"/>
          <w:color w:val="000000"/>
          <w:sz w:val="24"/>
          <w:szCs w:val="24"/>
          <w:highlight w:val="none"/>
          <w:u w:val="single"/>
        </w:rPr>
        <w:t xml:space="preserve">详见12.4.1 付款周期</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预付款支付期限：</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预付款扣回的方式：</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12.2.2 预付款担保</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承包人提交预付款担保的期限：</w:t>
      </w:r>
      <w:r>
        <w:rPr>
          <w:rFonts w:hint="eastAsia" w:ascii="仿宋" w:hAnsi="仿宋" w:eastAsia="仿宋" w:cs="仿宋"/>
          <w:color w:val="000000"/>
          <w:sz w:val="24"/>
          <w:szCs w:val="24"/>
          <w:highlight w:val="none"/>
          <w:u w:val="single"/>
        </w:rPr>
        <w:t xml:space="preserve"> / </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预付款担保的形式为：</w:t>
      </w: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12.3 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12.3.1 计量原则</w:t>
      </w:r>
      <w:r/>
    </w:p>
    <w:p>
      <w:pPr>
        <w:ind w:firstLine="480"/>
        <w:jc w:val="left"/>
        <w:spacing w:line="360" w:lineRule="auto"/>
        <w:tabs>
          <w:tab w:val="left" w:pos="2940" w:leader="none"/>
        </w:tabs>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工程量计算规则：</w:t>
      </w:r>
      <w:r>
        <w:rPr>
          <w:rFonts w:hint="eastAsia" w:ascii="仿宋" w:hAnsi="仿宋" w:eastAsia="仿宋" w:cs="仿宋"/>
          <w:b/>
          <w:bCs/>
          <w:color w:val="000000" w:themeColor="text1"/>
          <w:sz w:val="24"/>
          <w:szCs w:val="24"/>
          <w:highlight w:val="none"/>
          <w:u w:val="single"/>
          <w14:textFill>
            <w14:solidFill>
              <w14:schemeClr w14:val="tx1"/>
            </w14:solidFill>
          </w14:textFill>
        </w:rPr>
        <w:t xml:space="preserve"> 执行《建设工程工程量清单计价标准》和江苏省定额规定的计算规则。</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12.3.2 计量周期</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关于计量周期的约定：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按进度计量，如承包人未按时报送工程量，影响工程款支付的，由承包人自行负责。</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12.3.3 单价合同的计量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关于单价合同计量的约定：</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工程量清单以外项目，承包人自行施工的责任自负，结算时不予计量，确需实施的清单漏项项目在实施以前应当履行审批定价程序，应当依法招标的另行依法招标。</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12.3.4 总价合同的计量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关于总价合同计量的约定：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12.3.5总价合同采用支付分解表计量支付的，是否适用第12.3.4 项〔总价合同的计量〕约定进行计量：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12.3.6 其他价格形式合同的计量</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其他价格形式的计量方式和程序：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12.4 工程进度款支付</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12.4.1 付款周期</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关于付款周期的约定：</w:t>
      </w:r>
      <w:r/>
    </w:p>
    <w:p>
      <w:pPr>
        <w:ind w:firstLine="47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经双方协商一致，选择以下第</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种付款方式：</w:t>
      </w:r>
      <w:r/>
    </w:p>
    <w:p>
      <w:pPr>
        <w:ind w:firstLine="472"/>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付款方式一：提交预付款保函的</w:t>
      </w:r>
      <w:r/>
    </w:p>
    <w:p>
      <w:pPr>
        <w:ind w:firstLine="47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合同价款的百分之三十(</w:t>
      </w:r>
      <w:r>
        <w:rPr>
          <w:rFonts w:ascii="仿宋" w:hAnsi="仿宋" w:eastAsia="仿宋" w:cs="仿宋"/>
          <w:color w:val="000000"/>
          <w:sz w:val="24"/>
          <w:szCs w:val="24"/>
          <w:highlight w:val="none"/>
        </w:rPr>
        <w:t xml:space="preserve">3</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元整，在双方签订合同15个工作日后且承包人向发包人出具等额预付款保函后，由发包人办理政府采购资金结算手续，经审核后支付给承包人。</w:t>
      </w:r>
      <w:r/>
    </w:p>
    <w:p>
      <w:pPr>
        <w:ind w:firstLine="47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合同价款的百分之七十(</w:t>
      </w:r>
      <w:r>
        <w:rPr>
          <w:rFonts w:ascii="仿宋" w:hAnsi="仿宋" w:eastAsia="仿宋" w:cs="仿宋"/>
          <w:color w:val="000000"/>
          <w:sz w:val="24"/>
          <w:szCs w:val="24"/>
          <w:highlight w:val="none"/>
        </w:rPr>
        <w:t xml:space="preserve">7</w:t>
      </w:r>
      <w:r>
        <w:rPr>
          <w:rFonts w:hint="eastAsia" w:ascii="仿宋" w:hAnsi="仿宋" w:eastAsia="仿宋" w:cs="仿宋"/>
          <w:color w:val="000000"/>
          <w:sz w:val="24"/>
          <w:szCs w:val="24"/>
          <w:highlight w:val="none"/>
        </w:rPr>
        <w:t xml:space="preserve">0%)即￥</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，大写：人民币</w:t>
      </w:r>
      <w:r>
        <w:rPr>
          <w:rFonts w:hint="eastAsia" w:ascii="仿宋" w:hAnsi="仿宋" w:eastAsia="仿宋" w:cs="仿宋"/>
          <w:color w:val="000000"/>
          <w:sz w:val="24"/>
          <w:szCs w:val="24"/>
          <w:highlight w:val="none"/>
          <w:u w:val="single"/>
        </w:rPr>
        <w:t xml:space="preserve">     </w:t>
      </w:r>
      <w:r>
        <w:rPr>
          <w:rFonts w:hint="eastAsia" w:ascii="仿宋" w:hAnsi="仿宋" w:eastAsia="仿宋" w:cs="仿宋"/>
          <w:color w:val="000000"/>
          <w:sz w:val="24"/>
          <w:szCs w:val="24"/>
          <w:highlight w:val="none"/>
        </w:rPr>
        <w:t xml:space="preserve">元整， 审计结束后28日内，并将竣工结算资料报送采购人后，付至经双方认可的竣工结算价款的100%。乙方提供对应金额的增值税发票后，由甲方办理政府采购资金结算手续，经审核且财政资金到位后30日内支付给乙方。</w:t>
      </w:r>
      <w:r/>
    </w:p>
    <w:p>
      <w:pPr>
        <w:ind w:firstLine="472"/>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b/>
          <w:color w:val="000000"/>
          <w:sz w:val="24"/>
          <w:szCs w:val="24"/>
          <w:highlight w:val="none"/>
        </w:rPr>
        <w:t xml:space="preserve">付款方式二：不提交预付款保函的</w:t>
      </w:r>
      <w:r/>
    </w:p>
    <w:p>
      <w:pPr>
        <w:ind w:firstLine="470"/>
        <w:spacing w:line="400" w:lineRule="atLeast"/>
        <w:rPr>
          <w:rFonts w:ascii="仿宋" w:hAnsi="仿宋" w:eastAsia="仿宋" w:cs="仿宋"/>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合同生效且主要施工人员进场开工后15个工作日内支付工程合同价款的30%预付款；工程竣工验收合格后15个工作日内付至合同价款的</w:t>
      </w:r>
      <w:r>
        <w:rPr>
          <w:rFonts w:ascii="仿宋" w:hAnsi="仿宋" w:eastAsia="仿宋" w:cs="仿宋"/>
          <w:color w:val="000000"/>
          <w:sz w:val="24"/>
          <w:szCs w:val="24"/>
          <w:highlight w:val="none"/>
          <w:u w:val="single"/>
        </w:rPr>
        <w:t xml:space="preserve">7</w:t>
      </w:r>
      <w:r>
        <w:rPr>
          <w:rFonts w:hint="eastAsia" w:ascii="仿宋" w:hAnsi="仿宋" w:eastAsia="仿宋" w:cs="仿宋"/>
          <w:color w:val="000000"/>
          <w:sz w:val="24"/>
          <w:szCs w:val="24"/>
          <w:highlight w:val="none"/>
          <w:u w:val="single"/>
        </w:rPr>
        <w:t xml:space="preserve">0%；审计结束后28日内，并将竣工结算资料报送采购人后付至经双方认可的竣工结算价款的100%。乙方提供每次对应金额的增值税发票后，由甲方办理政府采购资金结算手续，经审核且财政资金到位后30日内支付给乙方。</w:t>
      </w:r>
      <w:r/>
    </w:p>
    <w:p>
      <w:pPr>
        <w:ind w:firstLine="420"/>
        <w:jc w:val="left"/>
        <w:spacing w:before="240" w:after="240" w:line="400" w:lineRule="atLeast"/>
        <w:rPr>
          <w:rFonts w:hint="eastAsia" w:ascii="仿宋" w:hAnsi="仿宋" w:eastAsia="仿宋" w:cs="仿宋"/>
          <w:color w:val="000000"/>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注：</w:t>
      </w: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进度款与质量挂钩，如果所完成工程的质量达不到验收规范要求，发包人有权暂缓支付该部分工程款，待承包人整改完成符合验收规范要求后再行支付，付款前承包人应提供符合发包人要求的增值税发票，否则发包人有权拒绝付款且不视为违约。</w:t>
      </w:r>
      <w:r/>
    </w:p>
    <w:p>
      <w:pPr>
        <w:ind w:firstLine="960"/>
        <w:jc w:val="left"/>
        <w:spacing w:before="240" w:after="240" w:line="400" w:lineRule="atLeast"/>
        <w:rPr>
          <w:rFonts w:hint="default" w:ascii="仿宋" w:hAnsi="仿宋" w:eastAsia="仿宋" w:cs="仿宋"/>
          <w:color w:val="000000"/>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lang w:val="en-US" w:eastAsia="zh-CN"/>
        </w:rPr>
        <w:t xml:space="preserve">2.若因财政付款审批程序滞后，发包人不承担逾期付款的违约责任。</w:t>
      </w:r>
      <w:r/>
    </w:p>
    <w:p>
      <w:pPr>
        <w:pStyle w:val="1059"/>
        <w:rPr>
          <w:highlight w:val="none"/>
        </w:rPr>
      </w:pPr>
      <w:r>
        <w:rPr>
          <w:highlight w:val="none"/>
        </w:rPr>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12.4.2 进度付款申请单的编制</w:t>
      </w:r>
      <w:r/>
    </w:p>
    <w:p>
      <w:pPr>
        <w:ind w:firstLine="63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关于进度付款申请单编制的约定：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工程进度款申请单一式四份，报监理和发包人代表签字后，由监理签发工程款支付证书</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12.4.3 进度付款申请单的提交</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按本合同约定</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（3）其他价格形式合同进度付款申请单提交的约定：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12.4.4 进度款审核和支付</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（1）监理人审查并报送发包人的期限：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监理人应在收到承包人进度付款申请单以及相关资料后7天内完成审查并报送发包人。 </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发包人完成审批并签发进度款支付证书的期限：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（2）发包人支付进度款的期限：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发包人审查完毕并签署工程进度款支付证书，且承包人提供正式完税发票后30日内。</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发包人逾期支付进度款的违约金的计算方式：</w:t>
      </w:r>
      <w:r>
        <w:rPr>
          <w:rFonts w:hint="eastAsia" w:ascii="仿宋" w:hAnsi="仿宋" w:eastAsia="仿宋" w:cs="仿宋"/>
          <w:color w:val="000000" w:themeColor="text1"/>
          <w:sz w:val="24"/>
          <w:szCs w:val="24"/>
          <w:highlight w:val="none"/>
          <w:u w:val="single"/>
          <w14:textFill>
            <w14:solidFill>
              <w14:schemeClr w14:val="tx1"/>
            </w14:solidFill>
          </w14:textFill>
        </w:rPr>
        <w:t xml:space="preserve">若发包人逾期付款，每延迟一天，按照全国银行间同业拆借中心公布的一年期贷款市场报价利率向承包人支付违约金</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60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12.4.6 支付分解表的编制</w:t>
      </w:r>
      <w:r/>
    </w:p>
    <w:p>
      <w:pPr>
        <w:ind w:left="4780" w:hanging="43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2、总价合同支付分解表的编制与审批：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4780" w:hanging="43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3、单价合同的总价项目支付分解表的编制与审批：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13. 验收和工程试车</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13.1 分部分项工程验收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13.1.2监理人不能按时进行验收时，应提前</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24 </w:t>
      </w:r>
      <w:r>
        <w:rPr>
          <w:rFonts w:hint="eastAsia" w:ascii="仿宋" w:hAnsi="仿宋" w:eastAsia="仿宋" w:cs="仿宋"/>
          <w:color w:val="000000" w:themeColor="text1"/>
          <w:sz w:val="24"/>
          <w:szCs w:val="24"/>
          <w:highlight w:val="none"/>
          <w14:textFill>
            <w14:solidFill>
              <w14:schemeClr w14:val="tx1"/>
            </w14:solidFill>
          </w14:textFill>
        </w:rPr>
        <w:t xml:space="preserve">小时提交书面延期要求。</w:t>
      </w:r>
      <w:r/>
    </w:p>
    <w:p>
      <w:pPr>
        <w:ind w:firstLine="480"/>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关于延期最长不得超过：</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48 </w:t>
      </w:r>
      <w:r>
        <w:rPr>
          <w:rFonts w:hint="eastAsia" w:ascii="仿宋" w:hAnsi="仿宋" w:eastAsia="仿宋" w:cs="仿宋"/>
          <w:color w:val="000000" w:themeColor="text1"/>
          <w:sz w:val="24"/>
          <w:szCs w:val="24"/>
          <w:highlight w:val="none"/>
          <w14:textFill>
            <w14:solidFill>
              <w14:schemeClr w14:val="tx1"/>
            </w14:solidFill>
          </w14:textFill>
        </w:rPr>
        <w:t xml:space="preserve">小时。</w:t>
      </w:r>
      <w:r/>
    </w:p>
    <w:p>
      <w:pPr>
        <w:ind w:firstLine="482"/>
        <w:jc w:val="left"/>
        <w:spacing w:line="360" w:lineRule="auto"/>
        <w:rPr>
          <w:rFonts w:ascii="仿宋" w:hAnsi="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13.2 竣工验收</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13.2.1验收时间：预计</w:t>
      </w:r>
      <w:r>
        <w:rPr>
          <w:rFonts w:ascii="仿宋" w:hAnsi="仿宋" w:eastAsia="仿宋" w:cs="仿宋"/>
          <w:b/>
          <w:color w:val="000000"/>
          <w:sz w:val="24"/>
          <w:szCs w:val="24"/>
          <w:highlight w:val="none"/>
          <w:u w:val="single"/>
        </w:rPr>
        <w:t xml:space="preserve">2026</w:t>
      </w:r>
      <w:r>
        <w:rPr>
          <w:rFonts w:ascii="仿宋" w:hAnsi="仿宋" w:eastAsia="仿宋" w:cs="仿宋"/>
          <w:b/>
          <w:color w:val="000000"/>
          <w:sz w:val="24"/>
          <w:szCs w:val="24"/>
          <w:highlight w:val="none"/>
        </w:rPr>
        <w:t xml:space="preserve">年</w:t>
      </w:r>
      <w:r>
        <w:rPr>
          <w:rFonts w:hint="eastAsia" w:ascii="仿宋" w:hAnsi="仿宋" w:eastAsia="仿宋" w:cs="仿宋"/>
          <w:b/>
          <w:color w:val="000000"/>
          <w:sz w:val="24"/>
          <w:szCs w:val="24"/>
          <w:highlight w:val="none"/>
          <w:u w:val="single"/>
        </w:rPr>
        <w:t xml:space="preserve">   </w:t>
      </w:r>
      <w:r>
        <w:rPr>
          <w:rFonts w:ascii="仿宋" w:hAnsi="仿宋" w:eastAsia="仿宋" w:cs="仿宋"/>
          <w:b/>
          <w:color w:val="000000"/>
          <w:sz w:val="24"/>
          <w:szCs w:val="24"/>
          <w:highlight w:val="none"/>
        </w:rPr>
        <w:t xml:space="preserve">月。</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13.2.2验收地点：</w:t>
      </w:r>
      <w:r>
        <w:rPr>
          <w:rFonts w:hint="eastAsia" w:ascii="仿宋" w:hAnsi="仿宋" w:eastAsia="仿宋" w:cs="仿宋"/>
          <w:b/>
          <w:color w:val="000000"/>
          <w:sz w:val="24"/>
          <w:szCs w:val="24"/>
          <w:highlight w:val="none"/>
        </w:rPr>
        <w:t xml:space="preserve">徐州市公安局巡特警支队运动场场地</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13.2.3验收主体：</w:t>
      </w:r>
      <w:r>
        <w:rPr>
          <w:rFonts w:hint="eastAsia" w:ascii="仿宋" w:hAnsi="仿宋" w:eastAsia="仿宋" w:cs="仿宋"/>
          <w:b/>
          <w:color w:val="000000"/>
          <w:sz w:val="24"/>
          <w:szCs w:val="24"/>
          <w:highlight w:val="none"/>
        </w:rPr>
        <w:t xml:space="preserve">徐州市公安局</w:t>
      </w:r>
      <w:r/>
    </w:p>
    <w:p>
      <w:pPr>
        <w:ind w:firstLine="400"/>
        <w:spacing w:line="79" w:lineRule="atLeast"/>
        <w:rPr>
          <w:rFonts w:ascii="仿宋" w:hAnsi="仿宋" w:cs="仿宋"/>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13.2.4验收方式：由</w:t>
      </w:r>
      <w:r>
        <w:rPr>
          <w:rFonts w:hint="eastAsia" w:ascii="仿宋" w:hAnsi="仿宋" w:eastAsia="仿宋" w:cs="仿宋"/>
          <w:b/>
          <w:color w:val="000000"/>
          <w:sz w:val="24"/>
          <w:szCs w:val="24"/>
          <w:highlight w:val="none"/>
        </w:rPr>
        <w:t xml:space="preserve">徐州市公安局</w:t>
      </w:r>
      <w:r>
        <w:rPr>
          <w:rFonts w:ascii="仿宋" w:hAnsi="仿宋" w:eastAsia="仿宋" w:cs="仿宋"/>
          <w:b/>
          <w:color w:val="000000"/>
          <w:sz w:val="24"/>
          <w:szCs w:val="24"/>
          <w:highlight w:val="none"/>
        </w:rPr>
        <w:t xml:space="preserve">组织施工单位、监理单位相关验收小组人员现场进行验收。</w:t>
      </w:r>
      <w:r/>
    </w:p>
    <w:p>
      <w:pPr>
        <w:ind w:firstLine="482"/>
        <w:rPr>
          <w:rFonts w:ascii="仿宋" w:hAnsi="仿宋" w:cs="仿宋"/>
          <w:b/>
          <w:bCs/>
          <w:sz w:val="24"/>
          <w:szCs w:val="24"/>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13.2.5验收内容：施工单位自检后，采购人</w:t>
      </w:r>
      <w:r>
        <w:rPr>
          <w:rFonts w:hint="eastAsia" w:ascii="仿宋" w:hAnsi="仿宋" w:eastAsia="仿宋" w:cs="仿宋"/>
          <w:b/>
          <w:color w:val="000000"/>
          <w:sz w:val="24"/>
          <w:szCs w:val="24"/>
          <w:highlight w:val="none"/>
        </w:rPr>
        <w:t xml:space="preserve">徐州市公安局</w:t>
      </w:r>
      <w:r>
        <w:rPr>
          <w:rFonts w:ascii="仿宋" w:hAnsi="仿宋" w:eastAsia="仿宋" w:cs="仿宋"/>
          <w:b/>
          <w:color w:val="000000"/>
          <w:sz w:val="24"/>
          <w:szCs w:val="24"/>
          <w:highlight w:val="none"/>
        </w:rPr>
        <w:t xml:space="preserve">组织验收，验收内容包</w:t>
      </w:r>
      <w:r>
        <w:rPr>
          <w:rFonts w:ascii="仿宋" w:hAnsi="仿宋" w:eastAsia="仿宋" w:cs="仿宋"/>
          <w:b/>
          <w:bCs/>
          <w:color w:val="000000"/>
          <w:sz w:val="24"/>
          <w:szCs w:val="24"/>
          <w:highlight w:val="none"/>
        </w:rPr>
        <w:t xml:space="preserve">含</w:t>
      </w:r>
      <w:r>
        <w:rPr>
          <w:rFonts w:hint="eastAsia" w:ascii="仿宋" w:hAnsi="仿宋" w:eastAsia="仿宋" w:cs="仿宋"/>
          <w:b/>
          <w:bCs/>
          <w:color w:val="000000"/>
          <w:sz w:val="24"/>
          <w:szCs w:val="24"/>
          <w:highlight w:val="none"/>
          <w:lang w:eastAsia="zh-CN"/>
        </w:rPr>
        <w:t xml:space="preserve">巡特警支队训练场地整治项目</w:t>
      </w:r>
      <w:r>
        <w:rPr>
          <w:rFonts w:ascii="仿宋" w:hAnsi="仿宋" w:eastAsia="仿宋" w:cs="仿宋"/>
          <w:b/>
          <w:color w:val="000000"/>
          <w:sz w:val="24"/>
          <w:szCs w:val="24"/>
          <w:highlight w:val="none"/>
        </w:rPr>
        <w:t xml:space="preserve">量清单内容、施工图、施工合同内容等。</w:t>
      </w:r>
      <w:r/>
    </w:p>
    <w:p>
      <w:pPr>
        <w:ind w:firstLine="482"/>
        <w:rPr>
          <w:highlight w:val="none"/>
        </w:rPr>
        <w:pBdr>
          <w:top w:val="none" w:color="000000" w:sz="0" w:space="0"/>
          <w:left w:val="none" w:color="000000" w:sz="0" w:space="0"/>
          <w:bottom w:val="none" w:color="000000" w:sz="0" w:space="0"/>
          <w:right w:val="none" w:color="000000" w:sz="0" w:space="0"/>
        </w:pBdr>
      </w:pPr>
      <w:r>
        <w:rPr>
          <w:rFonts w:ascii="仿宋" w:hAnsi="仿宋" w:eastAsia="仿宋" w:cs="仿宋"/>
          <w:b/>
          <w:color w:val="000000"/>
          <w:sz w:val="24"/>
          <w:szCs w:val="24"/>
          <w:highlight w:val="none"/>
        </w:rPr>
        <w:t xml:space="preserve">13.2.6验收标准：达到合同约定标准，依据《GB50300-2013《建筑工程施工质量验收统一标准》的要求。</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13.2.5移交、接收全部与部分工程</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承包人向发包人移交工程的期限：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发包人未按本合同约定接收全部或部分工程的，违约金的计算方法为：</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b/>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承包人未按时移交工程的，违约金的计算方法为：</w:t>
      </w:r>
      <w:r>
        <w:rPr>
          <w:rFonts w:hint="eastAsia" w:ascii="仿宋" w:hAnsi="仿宋" w:eastAsia="仿宋" w:cs="仿宋"/>
          <w:b/>
          <w:color w:val="000000" w:themeColor="text1"/>
          <w:sz w:val="24"/>
          <w:szCs w:val="24"/>
          <w:highlight w:val="none"/>
          <w:u w:val="single"/>
          <w14:textFill>
            <w14:solidFill>
              <w14:schemeClr w14:val="tx1"/>
            </w14:solidFill>
          </w14:textFill>
        </w:rPr>
        <w:t xml:space="preserve">每逾期1天，每天5000元支付违约金，发包人有权采取任何补救措施来弥补该延误，由此增加的费用由承包人承担。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13.3 工程试车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13.3.1 试车程序</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工程试车内容：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（1）单机无负荷试车费用由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（2）无负荷联动试车费用由</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13.3.3 投料试车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关于投料试车相关事项的约定：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13.6 竣工退场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13.6.1 竣工退场</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承包人完成竣工退场的期限：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移交手续办理完毕28日内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14. 竣工结算</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14.1 竣工结算申请</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承包人提交竣工结算申请单的期限：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工程竣工验收合格后28天内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Style w:val="1090"/>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竣工结算申请单应包括的内容：</w:t>
      </w:r>
      <w:r>
        <w:rPr>
          <w:rFonts w:hint="eastAsia" w:ascii="仿宋" w:hAnsi="仿宋" w:eastAsia="仿宋" w:cs="仿宋"/>
          <w:color w:val="000000" w:themeColor="text1"/>
          <w:sz w:val="24"/>
          <w:szCs w:val="24"/>
          <w:highlight w:val="none"/>
          <w:u w:val="single"/>
          <w14:textFill>
            <w14:solidFill>
              <w14:schemeClr w14:val="tx1"/>
            </w14:solidFill>
          </w14:textFill>
        </w:rPr>
        <w:t xml:space="preserve">招标文件、投标文件、中标通知书；合同文本；开、竣工报告；竣工验收合格证明书；签证变更资料；竣工图；监理人、发包人签收的满足城建档案管理要求的工程竣工资料（含竣工图）的交接单以及承包人已全部提交竣工结算资料的承诺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承包方提供的竣工资料及竣工图应真实有效与工程实际相符，如有不符，发包人及监理有权让承包方重新整理，直至与实际相符。否则发包人将不予接收承包人报送的竣工结算申请和相关资料 </w:t>
      </w:r>
      <w:r>
        <w:rPr>
          <w:rFonts w:hint="eastAsia" w:ascii="仿宋" w:hAnsi="仿宋" w:eastAsia="仿宋" w:cs="仿宋"/>
          <w:color w:val="000000" w:themeColor="text1"/>
          <w:sz w:val="24"/>
          <w:szCs w:val="24"/>
          <w:highlight w:val="none"/>
          <w14:textFill>
            <w14:solidFill>
              <w14:schemeClr w14:val="tx1"/>
            </w14:solidFill>
          </w14:textFill>
        </w:rPr>
        <w:t xml:space="preserve">。承包人自愿按审计结果执行，且为终局审计。</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14.2 竣工结算审核</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发包人审批竣工付款申请单的期限：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工程竣工验收报告经发包人认可后28天内，承包人向发包人递交竣工结算报告及完整的结算资料。发包人自接到承包人递交的完整真实的结算资料后6个月内按照合同约定的合同价款及合同价款调整办法及调整因素，进行工程竣工结算审计审核。承包人在上述时间内应积极配合发包人及审计部门的审核，若承包人不配合，审计时间相应顺延。</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发包人完成竣工付款的期限：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当双方取得一致认可的竣工结算价后30日内。</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关于竣工付款证书异议部分复核的方式和程序：</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14.4 最终结清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14.4.1 最终结清申请单</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承包人提交最终结清申请单的份数：</w:t>
      </w:r>
      <w:r>
        <w:rPr>
          <w:rFonts w:hint="eastAsia" w:ascii="仿宋" w:hAnsi="仿宋" w:eastAsia="仿宋" w:cs="仿宋"/>
          <w:color w:val="000000" w:themeColor="text1"/>
          <w:sz w:val="24"/>
          <w:szCs w:val="24"/>
          <w:highlight w:val="none"/>
          <w:u w:val="single"/>
          <w14:textFill>
            <w14:solidFill>
              <w14:schemeClr w14:val="tx1"/>
            </w14:solidFill>
          </w14:textFill>
        </w:rPr>
        <w:t xml:space="preserve"> 4份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承包人提交最终结算申请单的期限：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最后一笔工程款支付前14天内 </w:t>
      </w:r>
      <w:r>
        <w:rPr>
          <w:rFonts w:hint="eastAsia" w:ascii="仿宋" w:hAnsi="仿宋" w:eastAsia="仿宋" w:cs="仿宋"/>
          <w:color w:val="000000" w:themeColor="text1"/>
          <w:sz w:val="24"/>
          <w:szCs w:val="24"/>
          <w:highlight w:val="none"/>
          <w14:textFill>
            <w14:solidFill>
              <w14:schemeClr w14:val="tx1"/>
            </w14:solidFill>
          </w14:textFill>
        </w:rPr>
        <w:t xml:space="preserve">。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14.4.2 最终结清证书和支付</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（1）发包人完成最终结清申请单的审批并颁发最终结清证书的期限：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收到申请后28天内。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（2）发包人完成支付的期限：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承包人需完成相关保修责任义务并经发包人确认，同时颁发最终结清证书后30日内完成支付。</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15. 缺陷责任期与保修</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15.2缺陷责任期</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缺陷责任期的具体期限：</w:t>
      </w:r>
      <w:r>
        <w:rPr>
          <w:rFonts w:hint="eastAsia" w:ascii="仿宋" w:hAnsi="仿宋" w:eastAsia="仿宋" w:cs="仿宋"/>
          <w:color w:val="000000" w:themeColor="text1"/>
          <w:sz w:val="24"/>
          <w:szCs w:val="24"/>
          <w:highlight w:val="none"/>
          <w:u w:val="single"/>
          <w14:textFill>
            <w14:solidFill>
              <w14:schemeClr w14:val="tx1"/>
            </w14:solidFill>
          </w14:textFill>
        </w:rPr>
        <w:t xml:space="preserve">自竣工验收之日起24个月。</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15.4保修</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15.4.1 保修责任</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工程保修期为：</w:t>
      </w:r>
      <w:r>
        <w:rPr>
          <w:rFonts w:hint="eastAsia" w:ascii="仿宋" w:hAnsi="仿宋" w:eastAsia="仿宋" w:cs="仿宋"/>
          <w:color w:val="000000"/>
          <w:sz w:val="24"/>
          <w:szCs w:val="24"/>
          <w:highlight w:val="none"/>
          <w:u w:val="single"/>
        </w:rPr>
        <w:t xml:space="preserve">自工程竣工验收合格后资料、手续齐备并移交发包人之日起计算，具体期限详见《工程质量保修书》。</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15.4.2 修复通知</w:t>
      </w:r>
      <w:r/>
    </w:p>
    <w:p>
      <w:pPr>
        <w:ind w:firstLine="46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承包人收到保修通知并到达工程现场的合理时间：</w:t>
      </w:r>
      <w:r>
        <w:rPr>
          <w:rFonts w:hint="eastAsia" w:ascii="仿宋" w:hAnsi="仿宋" w:eastAsia="仿宋" w:cs="仿宋"/>
          <w:color w:val="000000" w:themeColor="text1"/>
          <w:sz w:val="24"/>
          <w:szCs w:val="24"/>
          <w:highlight w:val="none"/>
          <w:u w:val="single"/>
          <w14:textFill>
            <w14:solidFill>
              <w14:schemeClr w14:val="tx1"/>
            </w14:solidFill>
          </w14:textFill>
        </w:rPr>
        <w:t xml:space="preserve">接到发包人通知后48小时内</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70"/>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16. 违约</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outlineLvl w:val="0"/>
      </w:pPr>
      <w:r>
        <w:rPr>
          <w:rFonts w:hint="eastAsia" w:ascii="仿宋" w:hAnsi="仿宋" w:eastAsia="仿宋" w:cs="仿宋"/>
          <w:b/>
          <w:color w:val="000000" w:themeColor="text1"/>
          <w:sz w:val="24"/>
          <w:szCs w:val="24"/>
          <w:highlight w:val="none"/>
          <w14:textFill>
            <w14:solidFill>
              <w14:schemeClr w14:val="tx1"/>
            </w14:solidFill>
          </w14:textFill>
        </w:rPr>
        <w:t xml:space="preserve">16.1 发包人违约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16.1.1发包人违约的情形</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发包人违约的其他情形：</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按通用条款执行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left="1200" w:hanging="120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    16.1.2 发包人违约的责任</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发包人违约责任的承担方式和计算方法：</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（1）因发包人原因未能在计划开工日期前7天内下达开工通知的违约责任：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另行协商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（2）因发包人原因未能按合同约定支付合同价款的违约责任：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（3）发包人违反第10.1款〔变更的范围〕第（2）项约定，自行实施被取消的工作或转由他人实施的违约责任：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（4）发包人提供的材料、工程设备的规格、数量或质量不符合合同约定，或因发包人原因导致交货日期延误或交货地点变更等情况的违约责任：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（5）因发包人违反合同约定造成暂停施工的违约责任：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（6）发包人无正当理由没有在约定期限内发出复工指示，导致承包人无法复工的违约责任：</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（7）其他：</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无 </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16.1.3 因发包人违约解除合同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承包人按16.1.1项〔发包人违约的情形〕约定暂停施工满</w:t>
      </w:r>
      <w:r>
        <w:rPr>
          <w:rFonts w:hint="eastAsia" w:ascii="仿宋" w:hAnsi="仿宋" w:eastAsia="仿宋" w:cs="仿宋"/>
          <w:color w:val="000000" w:themeColor="text1"/>
          <w:sz w:val="24"/>
          <w:szCs w:val="24"/>
          <w:highlight w:val="none"/>
          <w:u w:val="single"/>
          <w14:textFill>
            <w14:solidFill>
              <w14:schemeClr w14:val="tx1"/>
            </w14:solidFill>
          </w14:textFill>
        </w:rPr>
        <w:t xml:space="preserve"> 30 </w:t>
      </w:r>
      <w:r>
        <w:rPr>
          <w:rFonts w:hint="eastAsia" w:ascii="仿宋" w:hAnsi="仿宋" w:eastAsia="仿宋" w:cs="仿宋"/>
          <w:color w:val="000000" w:themeColor="text1"/>
          <w:sz w:val="24"/>
          <w:szCs w:val="24"/>
          <w:highlight w:val="none"/>
          <w14:textFill>
            <w14:solidFill>
              <w14:schemeClr w14:val="tx1"/>
            </w14:solidFill>
          </w14:textFill>
        </w:rPr>
        <w:t xml:space="preserve">天后发包人仍不纠正其违约行为并致使合同目的不能实现的，承包人有权解除合同。</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16.2 承包人违约</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16.2.1 承包人违约的情形</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承包人违约的其他情形：</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（1）承包人在中标后，未能按规定的时间办理相关手续、缴纳相关费用，影响办理施工许可证；</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（2）没有合理的原因而未能按期开工；</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（3）中标后被发现有出卖资质、非法挂靠行为的；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（4）承包人违反合同约定进行转包或违法分包的；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（5）施工过程中管理不规范；</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（6）承包人不服从发包人及监理工程师的管理；</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（7）工程竣工验收合格后，承包人不及时报送竣工资料的；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（8）施工期间承包人未经发包人批准停止施工48小时；</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（9）承包人不按施工计划进度完成，且经发包人指出后仍不能整改并完成原施工计划进度的；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（10）因承包人原因，导致发包方被司法机关协执导致合同不能正常履行的；</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（11）承包人发生质量安全事故；</w:t>
      </w:r>
      <w:r/>
    </w:p>
    <w:p>
      <w:pPr>
        <w:ind w:firstLine="480"/>
        <w:jc w:val="left"/>
        <w:spacing w:line="360" w:lineRule="auto"/>
        <w:rPr>
          <w:rFonts w:ascii="仿宋" w:hAnsi="仿宋" w:eastAsia="仿宋" w:cs="仿宋"/>
          <w:strike/>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（12）承包人</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应实行农民工劳动用工实名制管理，与招用的农民工书面约定或者通过依法制定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的规章制度规定工资支付标准、支付时间、支付方式等内容</w:t>
      </w:r>
      <w:r>
        <w:rPr>
          <w:rFonts w:hint="eastAsia" w:ascii="仿宋" w:hAnsi="仿宋" w:eastAsia="仿宋" w:cs="仿宋"/>
          <w:color w:val="000000" w:themeColor="text1"/>
          <w:sz w:val="24"/>
          <w:szCs w:val="24"/>
          <w:highlight w:val="none"/>
          <w:u w:val="single"/>
          <w:lang w:eastAsia="zh-CN"/>
          <w14:textFill>
            <w14:solidFill>
              <w14:schemeClr w14:val="tx1"/>
            </w14:solidFill>
          </w14:textFill>
        </w:rPr>
        <w:t xml:space="preserve">。</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承包人不得无故拖欠农民工工资，如因农民工上访讨薪等事件产生的一切后果由承包人承担。</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16.2.2承包人违约的责任</w:t>
      </w:r>
      <w:r/>
    </w:p>
    <w:p>
      <w:pPr>
        <w:ind w:left="718" w:hanging="24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themeColor="text1"/>
          <w:sz w:val="24"/>
          <w:szCs w:val="24"/>
          <w:highlight w:val="none"/>
          <w14:textFill>
            <w14:solidFill>
              <w14:schemeClr w14:val="tx1"/>
            </w14:solidFill>
          </w14:textFill>
        </w:rPr>
        <w:t xml:space="preserve">承包人违约责任的承担方式和计算方法：</w:t>
      </w:r>
      <w:r>
        <w:rPr>
          <w:rFonts w:hint="eastAsia" w:ascii="仿宋" w:hAnsi="仿宋" w:eastAsia="仿宋" w:cs="仿宋"/>
          <w:color w:val="000000"/>
          <w:sz w:val="24"/>
          <w:szCs w:val="24"/>
          <w:highlight w:val="none"/>
          <w:u w:val="single"/>
        </w:rPr>
        <w:t xml:space="preserve">由承包人承担全部费用并承担相关法律责任</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rPr>
        <w:t xml:space="preserve">（1）承包人应当赔偿因违约给发包人造成的一切直接与间接损失（包括但不限于发包人因维权产生的诉讼费、诉讼保全担保费、律师费、保全费、鉴定费、交通费等）；</w:t>
      </w:r>
      <w:r/>
    </w:p>
    <w:p>
      <w:pPr>
        <w:ind w:firstLine="420"/>
        <w:jc w:val="left"/>
        <w:spacing w:line="360" w:lineRule="auto"/>
        <w:rPr>
          <w:rFonts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（2）承包人拒绝支付合同约定的违约金的，发包人均有权从承包人工程款中扣除；</w:t>
      </w:r>
      <w:r/>
    </w:p>
    <w:p>
      <w:pPr>
        <w:ind w:firstLine="480"/>
        <w:jc w:val="left"/>
        <w:spacing w:line="360" w:lineRule="auto"/>
        <w:rPr>
          <w:rFonts w:ascii="仿宋" w:hAnsi="仿宋" w:eastAsia="仿宋" w:cs="仿宋"/>
          <w:sz w:val="24"/>
          <w:szCs w:val="24"/>
          <w:highlight w:val="none"/>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3）承包人违反合同约定进行转包或违法分包的：转包或分包合同无效，承包人应向发包人承担转包或分包合同金额的30%违约金，并继续履行本合同；发包人也有权选择单方解除施工合同，清退施工人员并按合同总价的20%收取违约金，在这种情况下，承包人必须在10日内退场，并且不得提出任何对发包人不利的要求。发包人若选择接受转包或分包行为的，承包人应当与实际施工人就分包和转包工程向发包人承担连带责任。并承担因在政府有关部门处理该问题时而造成的停工处罚以及由此而给发包人造成的其他经济损失。</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16.2.3 因承包人违约解除合同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关于承包人违约解除合同的特别约定：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施工过程中，发包人、监理人发现施工质量不符合国家相关规范标准的，承包人应立即停工整改，因此所增加的费用由承包人承担；发现严重施工质量问题达到3次，发包人有权解除合同，因此产生的一切损失和费用由承包人承担。</w:t>
      </w:r>
      <w:r>
        <w:rPr>
          <w:rFonts w:hint="eastAsia" w:ascii="仿宋" w:hAnsi="仿宋" w:eastAsia="仿宋" w:cs="仿宋"/>
          <w:bCs/>
          <w:color w:val="000000" w:themeColor="text1"/>
          <w:sz w:val="24"/>
          <w:szCs w:val="24"/>
          <w:highlight w:val="none"/>
          <w:u w:val="single"/>
          <w14:textFill>
            <w14:solidFill>
              <w14:schemeClr w14:val="tx1"/>
            </w14:solidFill>
          </w14:textFill>
        </w:rPr>
        <w:t xml:space="preserve">工期逾期超过30天，发包人有权解除合同，因此产生的一切损失和费用由承包人承担。</w:t>
      </w:r>
      <w:r/>
    </w:p>
    <w:p>
      <w:pPr>
        <w:ind w:firstLine="63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发包人继续使用承包人在施工现场的材料、设备、临时工程、承包人文件和由承包人或以其名义编制的其他文件的费用承担方式： 另行协商 。</w:t>
      </w:r>
      <w:r/>
    </w:p>
    <w:p>
      <w:pPr>
        <w:ind w:firstLine="638"/>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承包人若有违反合同或招投标文件项下任一条款之义务，发包人有权在承包人违约事实发生后书面通知承包人主张全部或部分解除或终止合同，合同在书面通知到达承包人时即告解除或终止。同时，承包人均 自愿按约定承担违约及赔偿责任。</w:t>
      </w:r>
      <w:r/>
    </w:p>
    <w:p>
      <w:pPr>
        <w:ind w:firstLine="638"/>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17. 不可抗力</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17.1 不可抗力的确认</w:t>
      </w:r>
      <w:r/>
    </w:p>
    <w:p>
      <w:pPr>
        <w:ind w:firstLine="480"/>
        <w:jc w:val="left"/>
        <w:spacing w:line="360" w:lineRule="auto"/>
        <w:rPr>
          <w:rFonts w:ascii="仿宋" w:hAnsi="仿宋" w:eastAsia="仿宋" w:cs="仿宋"/>
          <w:color w:val="000000" w:themeColor="text1"/>
          <w:sz w:val="24"/>
          <w:szCs w:val="24"/>
          <w:highlight w:val="none"/>
          <w:u w:val="singl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除通用合同条款约定的不可抗力事件之外，视为不可抗力的其他情形： </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执行通用条款 。</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17.4 因不可抗力解除合同</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合同解除后，发包人应在商定或确定发包人应支付款项后</w:t>
      </w:r>
      <w:r>
        <w:rPr>
          <w:rFonts w:hint="eastAsia" w:ascii="仿宋" w:hAnsi="仿宋" w:eastAsia="仿宋" w:cs="仿宋"/>
          <w:color w:val="000000" w:themeColor="text1"/>
          <w:sz w:val="24"/>
          <w:szCs w:val="24"/>
          <w:highlight w:val="none"/>
          <w:u w:val="single"/>
          <w14:textFill>
            <w14:solidFill>
              <w14:schemeClr w14:val="tx1"/>
            </w14:solidFill>
          </w14:textFill>
        </w:rPr>
        <w:t xml:space="preserve">30</w:t>
      </w:r>
      <w:r>
        <w:rPr>
          <w:rFonts w:hint="eastAsia" w:ascii="仿宋" w:hAnsi="仿宋" w:eastAsia="仿宋" w:cs="仿宋"/>
          <w:color w:val="000000" w:themeColor="text1"/>
          <w:sz w:val="24"/>
          <w:szCs w:val="24"/>
          <w:highlight w:val="none"/>
          <w14:textFill>
            <w14:solidFill>
              <w14:schemeClr w14:val="tx1"/>
            </w14:solidFill>
          </w14:textFill>
        </w:rPr>
        <w:t xml:space="preserve">天内完成款项的支付。</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18. 保险</w:t>
      </w:r>
      <w:r/>
    </w:p>
    <w:p>
      <w:pPr>
        <w:ind w:firstLine="482"/>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18.1 工程保险</w:t>
      </w:r>
      <w:r/>
    </w:p>
    <w:p>
      <w:pPr>
        <w:ind w:firstLine="480"/>
        <w:jc w:val="left"/>
        <w:spacing w:line="360" w:lineRule="auto"/>
        <w:rPr>
          <w:rFonts w:ascii="仿宋" w:hAnsi="仿宋" w:eastAsia="仿宋" w:cs="仿宋"/>
          <w:strike/>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关于工程保险的特别约定：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 承包人必须按照工程所在地相关规定要求执行,相关保险费用由承包人承担。</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outlineLvl w:val="0"/>
      </w:pPr>
      <w:r>
        <w:rPr>
          <w:rFonts w:hint="eastAsia" w:ascii="仿宋" w:hAnsi="仿宋" w:eastAsia="仿宋" w:cs="仿宋"/>
          <w:b/>
          <w:bCs/>
          <w:color w:val="000000" w:themeColor="text1"/>
          <w:sz w:val="24"/>
          <w:szCs w:val="24"/>
          <w:highlight w:val="none"/>
          <w14:textFill>
            <w14:solidFill>
              <w14:schemeClr w14:val="tx1"/>
            </w14:solidFill>
          </w14:textFill>
        </w:rPr>
        <w:t xml:space="preserve">18.3 其他保险</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关于其他保险的约定：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承包人必须为施工现场的全部人员办理意外伤害保险，并缴纳保险费，包括其员工及为履行合同聘请的第三方的人员，所有保险费用由承包人承担，包含在签约合同价格中</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承包人是否应为其施工设备等办理财产保险：</w:t>
      </w:r>
      <w:r>
        <w:rPr>
          <w:rFonts w:hint="eastAsia" w:ascii="仿宋" w:hAnsi="仿宋" w:eastAsia="仿宋" w:cs="仿宋"/>
          <w:color w:val="000000" w:themeColor="text1"/>
          <w:sz w:val="24"/>
          <w:szCs w:val="24"/>
          <w:highlight w:val="none"/>
          <w:u w:val="single"/>
          <w14:textFill>
            <w14:solidFill>
              <w14:schemeClr w14:val="tx1"/>
            </w14:solidFill>
          </w14:textFill>
        </w:rPr>
        <w:t xml:space="preserve">是</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ind w:firstLine="482"/>
        <w:jc w:val="left"/>
        <w:spacing w:line="360" w:lineRule="auto"/>
        <w:rPr>
          <w:rFonts w:ascii="仿宋" w:hAnsi="仿宋" w:eastAsia="仿宋" w:cs="仿宋"/>
          <w:b/>
          <w:bCs/>
          <w:color w:val="000000" w:themeColor="text1"/>
          <w:sz w:val="24"/>
          <w:szCs w:val="24"/>
          <w:highlight w:val="none"/>
          <w14:textFill>
            <w14:solidFill>
              <w14:schemeClr w14:val="tx1"/>
            </w14:solidFill>
          </w14:textFill>
        </w:rPr>
      </w:pPr>
      <w:r>
        <w:rPr>
          <w:rFonts w:hint="eastAsia" w:ascii="仿宋" w:hAnsi="仿宋" w:eastAsia="仿宋" w:cs="仿宋"/>
          <w:b/>
          <w:bCs/>
          <w:color w:val="000000" w:themeColor="text1"/>
          <w:sz w:val="24"/>
          <w:szCs w:val="24"/>
          <w:highlight w:val="none"/>
          <w14:textFill>
            <w14:solidFill>
              <w14:schemeClr w14:val="tx1"/>
            </w14:solidFill>
          </w14:textFill>
        </w:rPr>
        <w:t xml:space="preserve">18.7 通知义务</w:t>
      </w:r>
      <w:r/>
    </w:p>
    <w:p>
      <w:pPr>
        <w:ind w:firstLine="42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关于变更保险合同时的通知义务的约定：</w:t>
      </w:r>
      <w:r>
        <w:rPr>
          <w:rFonts w:hint="eastAsia" w:ascii="仿宋" w:hAnsi="仿宋" w:eastAsia="仿宋" w:cs="仿宋"/>
          <w:color w:val="000000" w:themeColor="text1"/>
          <w:sz w:val="24"/>
          <w:szCs w:val="24"/>
          <w:highlight w:val="none"/>
          <w:u w:val="single"/>
          <w14:textFill>
            <w14:solidFill>
              <w14:schemeClr w14:val="tx1"/>
            </w14:solidFill>
          </w14:textFill>
        </w:rPr>
        <w:t xml:space="preserve">按通用条款执行</w:t>
      </w:r>
      <w:r>
        <w:rPr>
          <w:rFonts w:hint="eastAsia" w:ascii="仿宋" w:hAnsi="仿宋" w:eastAsia="仿宋" w:cs="仿宋"/>
          <w:color w:val="000000" w:themeColor="text1"/>
          <w:sz w:val="24"/>
          <w:szCs w:val="24"/>
          <w:highlight w:val="none"/>
          <w14:textFill>
            <w14:solidFill>
              <w14:schemeClr w14:val="tx1"/>
            </w14:solidFill>
          </w14:textFill>
        </w:rPr>
        <w:t xml:space="preserve">。</w:t>
      </w:r>
      <w:r/>
    </w:p>
    <w:p>
      <w:pPr>
        <w:keepLines/>
        <w:keepNext/>
        <w:spacing w:line="360" w:lineRule="auto"/>
        <w:rPr>
          <w:rFonts w:ascii="仿宋" w:hAnsi="仿宋" w:eastAsia="仿宋" w:cs="仿宋"/>
          <w:b/>
          <w:color w:val="000000" w:themeColor="text1"/>
          <w:sz w:val="24"/>
          <w:szCs w:val="24"/>
          <w:highlight w:val="none"/>
          <w14:textFill>
            <w14:solidFill>
              <w14:schemeClr w14:val="tx1"/>
            </w14:solidFill>
          </w14:textFill>
        </w:rPr>
        <w:outlineLvl w:val="3"/>
      </w:pPr>
      <w:r>
        <w:rPr>
          <w:rFonts w:hint="eastAsia" w:ascii="仿宋" w:hAnsi="仿宋" w:eastAsia="仿宋" w:cs="仿宋"/>
          <w:b/>
          <w:color w:val="000000" w:themeColor="text1"/>
          <w:sz w:val="24"/>
          <w:szCs w:val="24"/>
          <w:highlight w:val="none"/>
          <w14:textFill>
            <w14:solidFill>
              <w14:schemeClr w14:val="tx1"/>
            </w14:solidFill>
          </w14:textFill>
        </w:rPr>
        <w:t xml:space="preserve">20. 争议解决</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因合同及合同有关事项发生的争议，按下列第</w:t>
      </w:r>
      <w:r>
        <w:rPr>
          <w:rFonts w:hint="eastAsia" w:ascii="仿宋" w:hAnsi="仿宋" w:eastAsia="仿宋" w:cs="仿宋"/>
          <w:color w:val="000000" w:themeColor="text1"/>
          <w:sz w:val="24"/>
          <w:szCs w:val="24"/>
          <w:highlight w:val="none"/>
          <w:u w:val="single"/>
          <w14:textFill>
            <w14:solidFill>
              <w14:schemeClr w14:val="tx1"/>
            </w14:solidFill>
          </w14:textFill>
        </w:rPr>
        <w:t xml:space="preserve">   （2）  </w:t>
      </w:r>
      <w:r>
        <w:rPr>
          <w:rFonts w:hint="eastAsia" w:ascii="仿宋" w:hAnsi="仿宋" w:eastAsia="仿宋" w:cs="仿宋"/>
          <w:color w:val="000000" w:themeColor="text1"/>
          <w:sz w:val="24"/>
          <w:szCs w:val="24"/>
          <w:highlight w:val="none"/>
          <w14:textFill>
            <w14:solidFill>
              <w14:schemeClr w14:val="tx1"/>
            </w14:solidFill>
          </w14:textFill>
        </w:rPr>
        <w:t xml:space="preserve">种方式解决：</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（1）向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   </w:t>
      </w:r>
      <w:r>
        <w:rPr>
          <w:rFonts w:hint="eastAsia" w:ascii="仿宋" w:hAnsi="仿宋" w:eastAsia="仿宋" w:cs="仿宋"/>
          <w:color w:val="000000" w:themeColor="text1"/>
          <w:sz w:val="24"/>
          <w:szCs w:val="24"/>
          <w:highlight w:val="none"/>
          <w14:textFill>
            <w14:solidFill>
              <w14:schemeClr w14:val="tx1"/>
            </w14:solidFill>
          </w14:textFill>
        </w:rPr>
        <w:t xml:space="preserve">仲裁委员会申请仲裁；</w:t>
      </w:r>
      <w:r/>
    </w:p>
    <w:p>
      <w:pPr>
        <w:ind w:firstLine="480"/>
        <w:jc w:val="left"/>
        <w:spacing w:line="360" w:lineRule="auto"/>
        <w:rPr>
          <w:rFonts w:ascii="仿宋" w:hAnsi="仿宋" w:eastAsia="仿宋" w:cs="仿宋"/>
          <w:color w:val="000000" w:themeColor="text1"/>
          <w:sz w:val="24"/>
          <w:szCs w:val="24"/>
          <w:highlight w:val="none"/>
          <w14:textFill>
            <w14:solidFill>
              <w14:schemeClr w14:val="tx1"/>
            </w14:solidFill>
          </w14:textFill>
        </w:rPr>
      </w:pPr>
      <w:r>
        <w:rPr>
          <w:rFonts w:hint="eastAsia" w:ascii="仿宋" w:hAnsi="仿宋" w:eastAsia="仿宋" w:cs="仿宋"/>
          <w:color w:val="000000" w:themeColor="text1"/>
          <w:sz w:val="24"/>
          <w:szCs w:val="24"/>
          <w:highlight w:val="none"/>
          <w14:textFill>
            <w14:solidFill>
              <w14:schemeClr w14:val="tx1"/>
            </w14:solidFill>
          </w14:textFill>
        </w:rPr>
        <w:t xml:space="preserve">（2）向</w:t>
      </w:r>
      <w:r>
        <w:rPr>
          <w:rFonts w:hint="eastAsia" w:ascii="仿宋" w:hAnsi="仿宋" w:eastAsia="仿宋" w:cs="仿宋"/>
          <w:color w:val="000000" w:themeColor="text1"/>
          <w:sz w:val="24"/>
          <w:szCs w:val="24"/>
          <w:highlight w:val="none"/>
          <w:u w:val="single"/>
          <w14:textFill>
            <w14:solidFill>
              <w14:schemeClr w14:val="tx1"/>
            </w14:solidFill>
          </w14:textFill>
        </w:rPr>
        <w:t xml:space="preserve">  工程所在地 </w:t>
      </w:r>
      <w:r>
        <w:rPr>
          <w:rFonts w:hint="eastAsia" w:ascii="仿宋" w:hAnsi="仿宋" w:eastAsia="仿宋" w:cs="仿宋"/>
          <w:color w:val="000000" w:themeColor="text1"/>
          <w:sz w:val="24"/>
          <w:szCs w:val="24"/>
          <w:highlight w:val="none"/>
          <w14:textFill>
            <w14:solidFill>
              <w14:schemeClr w14:val="tx1"/>
            </w14:solidFill>
          </w14:textFill>
        </w:rPr>
        <w:t xml:space="preserve">人民法院起诉。</w:t>
      </w:r>
      <w:r/>
    </w:p>
    <w:p>
      <w:pPr>
        <w:ind w:firstLine="361"/>
        <w:jc w:val="left"/>
        <w:spacing w:line="360" w:lineRule="auto"/>
        <w:rPr>
          <w:rFonts w:ascii="仿宋" w:hAnsi="仿宋" w:eastAsia="仿宋" w:cs="仿宋"/>
          <w:b/>
          <w:color w:val="000000" w:themeColor="text1"/>
          <w:sz w:val="24"/>
          <w:szCs w:val="24"/>
          <w:highlight w:val="none"/>
          <w14:textFill>
            <w14:solidFill>
              <w14:schemeClr w14:val="tx1"/>
            </w14:solidFill>
          </w14:textFill>
        </w:rPr>
      </w:pPr>
      <w:r>
        <w:rPr>
          <w:rFonts w:hint="eastAsia" w:ascii="仿宋" w:hAnsi="仿宋" w:eastAsia="仿宋" w:cs="仿宋"/>
          <w:b/>
          <w:color w:val="000000" w:themeColor="text1"/>
          <w:sz w:val="24"/>
          <w:szCs w:val="24"/>
          <w:highlight w:val="none"/>
          <w14:textFill>
            <w14:solidFill>
              <w14:schemeClr w14:val="tx1"/>
            </w14:solidFill>
          </w14:textFill>
        </w:rPr>
        <w:t xml:space="preserve">21.补充条款</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供应商必须遵从发包人相关安全保卫制度、安全文明施工。涉及财产安全，施工组织和安全管理要求较高，承包人应严格遵守经批准制定的工期进度安排，项目经理和安全员必须驻现场组织施工和安全管理，否则按违约处理。项目经理在本项目服务期间不得担任其他项目的项目经理</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施工改造不得破坏现有设施设备，否则免费原样恢复，造成重大事故的由施工单位承担相关责任</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根据施工现场实际情况，采购人有权利对部分工程项目及工程量进行增减或调整，供应商必须认可采购人对部分工程项目及工程量进行增减或调整的内容</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重点区域或重点部位的施工要采取弹性工作时间，不得影响发包人办公秩序，服从采购人的安排</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 拆除原设施如为保护性拆除，不得随意损坏。否则，造成损坏的要无偿修复或按工程清单中价格赔偿。赔偿款从工程款中扣除</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trike/>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（2）施工用水、用电由承包人按施工现场发包人指定地点连接使用，施工用水、用电费用按照供应商投标报价各项子目所含水电费用进行扣除。即采用原进原出方式执行</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所有主要材料进场需提前申报，未经建设单位同意不得擅自使用。本工程严禁使用不合格或不符合设计要求的材料，一经发现，限期退场，不按要求退场的，造成的损失由承包人负责。若使用不符合标准、规格、质量和品牌要求（包括建设单位供应材料由于承包人验收把关不严）的工程材料承包人无条件更换和返工，并按照不合格材料购进总额的30%向发包人支付违约金（在同期工程进度款中扣除）。如购进的材料设备与提供的样品不一致时，由承包人无条件退货，造成的损失由承包人负责</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4</w:t>
      </w:r>
      <w:r>
        <w:rPr>
          <w:rFonts w:hint="eastAsia" w:ascii="仿宋" w:hAnsi="仿宋" w:eastAsia="仿宋" w:cs="仿宋"/>
          <w:color w:val="000000"/>
          <w:sz w:val="24"/>
          <w:szCs w:val="24"/>
          <w:highlight w:val="none"/>
          <w:u w:val="single"/>
        </w:rPr>
        <w:t xml:space="preserve">）承包人在施工过程中必须文明、安全、规范，保持环境整洁，按照江苏省文明工地的标准，就生活办公用房、工地围墙、照明、防护、标志、警告信号和门卫等做出具体安排，若有违章行为，则承包人应按规定向发包人支付违约金，一切责任自负</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在履行合同过程中，承包人不得转包，应遵守国家或地方的法律、法规、法令，或任何对工程有管辖权的部门的规章，并按要求支付有关费用。一经发现承包人转包工程现象，取消承包资格，已完成的工程量不予结算</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）无论发包人是否给予了批准或同意，承包人应对现场作业、施工方法及所施工工程的完备性、稳定性和安全性承担全部责任，负责完成对工程的稳定、完整、安全、可靠及有效运行所必需的全部工作</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7</w:t>
      </w:r>
      <w:r>
        <w:rPr>
          <w:rFonts w:hint="eastAsia" w:ascii="仿宋" w:hAnsi="仿宋" w:eastAsia="仿宋" w:cs="仿宋"/>
          <w:color w:val="000000"/>
          <w:sz w:val="24"/>
          <w:szCs w:val="24"/>
          <w:highlight w:val="none"/>
          <w:u w:val="single"/>
        </w:rPr>
        <w:t xml:space="preserve">）承包人必须服从发包人和监理工程师的管理监督，施工中发生的质量问题必须及时整改，因承包人原因被责令停工和返工，所造成的一切损失由承包人负责</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8</w:t>
      </w:r>
      <w:r>
        <w:rPr>
          <w:rFonts w:hint="eastAsia" w:ascii="仿宋" w:hAnsi="仿宋" w:eastAsia="仿宋" w:cs="仿宋"/>
          <w:color w:val="000000"/>
          <w:sz w:val="24"/>
          <w:szCs w:val="24"/>
          <w:highlight w:val="none"/>
          <w:u w:val="single"/>
        </w:rPr>
        <w:t xml:space="preserve">）发生下列情况，承包人不向发包人收取任何费用：</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①承包人为了加快工程进度、保证进度、保证工程正常进行，采取的各种措施</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②施工期间清理本工程产生的各种垃圾</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w:t>
      </w:r>
      <w:r>
        <w:rPr>
          <w:rFonts w:hint="eastAsia" w:ascii="仿宋" w:hAnsi="仿宋" w:eastAsia="仿宋" w:cs="仿宋"/>
          <w:color w:val="000000"/>
          <w:sz w:val="24"/>
          <w:szCs w:val="24"/>
          <w:highlight w:val="none"/>
          <w:u w:val="single"/>
          <w:lang w:val="en-US" w:eastAsia="zh-CN"/>
        </w:rPr>
        <w:t xml:space="preserve">9</w:t>
      </w:r>
      <w:r>
        <w:rPr>
          <w:rFonts w:hint="eastAsia" w:ascii="仿宋" w:hAnsi="仿宋" w:eastAsia="仿宋" w:cs="仿宋"/>
          <w:color w:val="000000"/>
          <w:sz w:val="24"/>
          <w:szCs w:val="24"/>
          <w:highlight w:val="none"/>
          <w:u w:val="single"/>
        </w:rPr>
        <w:t xml:space="preserve">）重新检验：监理单位和发包人如对承包人已检验的材料或已验收的部位质量有怀疑，可进行重新（抽）检验。检验合格，检验费用由发包人支付，耽误的工期予以顺延；如检验不合格，则检验费用由承包人支付。对重新检验不合格的材料，已使用部分必须拆除，与未使用部分一并清除出场，同时承包人支付发包人该部分材料价格30%的违约金；对重新检验不合格的部位，必须返工，同时承包人支付发包人该部分工程造价10%的违约金，损失的工期不予补偿</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0</w:t>
      </w:r>
      <w:r>
        <w:rPr>
          <w:rFonts w:hint="eastAsia" w:ascii="仿宋" w:hAnsi="仿宋" w:eastAsia="仿宋" w:cs="仿宋"/>
          <w:color w:val="000000"/>
          <w:sz w:val="24"/>
          <w:szCs w:val="24"/>
          <w:highlight w:val="none"/>
          <w:u w:val="single"/>
        </w:rPr>
        <w:t xml:space="preserve">）考虑到本工程施工中可能会受到季节、气候等的影响。承包人应认真了解施工现场情况，充分考虑施工过程中可能出现的不利因素[如因赶工投入的模板、脚手支撑等措施费（含外聘专家咨询费），不同专业交叉作业、成品保护费、临时停电（一周累计8小时）、停水（一周累计8小时）、天气变化、材料到位、道路维护等等]，并在施工方案（施工组织设计）中明确为确保本工程质量和工期要求而应该采取的相应措施，其所有费用均已列入本合同价中，工程结算时不作调整</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vertAlign w:val="subscript"/>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1</w:t>
      </w:r>
      <w:r>
        <w:rPr>
          <w:rFonts w:hint="eastAsia" w:ascii="仿宋" w:hAnsi="仿宋" w:eastAsia="仿宋" w:cs="仿宋"/>
          <w:color w:val="000000"/>
          <w:sz w:val="24"/>
          <w:szCs w:val="24"/>
          <w:highlight w:val="none"/>
          <w:u w:val="single"/>
        </w:rPr>
        <w:t xml:space="preserve">）竣工验收前，承包人需提供完整的竣工验收资料，承包人提供的所有资料必须满足验收要求</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2</w:t>
      </w:r>
      <w:r>
        <w:rPr>
          <w:rFonts w:hint="eastAsia" w:ascii="仿宋" w:hAnsi="仿宋" w:eastAsia="仿宋" w:cs="仿宋"/>
          <w:color w:val="000000"/>
          <w:sz w:val="24"/>
          <w:szCs w:val="24"/>
          <w:highlight w:val="none"/>
          <w:u w:val="single"/>
        </w:rPr>
        <w:t xml:space="preserve">）合同工期结束时，确保施工现场达到清场的标准（或双方另商定），该费用由承包人自行考虑，并计入合同价中</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3</w:t>
      </w:r>
      <w:r>
        <w:rPr>
          <w:rFonts w:hint="eastAsia" w:ascii="仿宋" w:hAnsi="仿宋" w:eastAsia="仿宋" w:cs="仿宋"/>
          <w:color w:val="000000"/>
          <w:sz w:val="24"/>
          <w:szCs w:val="24"/>
          <w:highlight w:val="none"/>
          <w:u w:val="single"/>
        </w:rPr>
        <w:t xml:space="preserve">）社会保险费应由承包人自行向相关部门进行主动缴纳，如不缴纳的，一切后果和因此所产生的一切费用由承包人负责承担，发包人保留追缴承包人社会保险费的权利</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4</w:t>
      </w:r>
      <w:r>
        <w:rPr>
          <w:rFonts w:hint="eastAsia" w:ascii="仿宋" w:hAnsi="仿宋" w:eastAsia="仿宋" w:cs="仿宋"/>
          <w:color w:val="000000"/>
          <w:sz w:val="24"/>
          <w:szCs w:val="24"/>
          <w:highlight w:val="none"/>
          <w:u w:val="single"/>
        </w:rPr>
        <w:t xml:space="preserve">）工程变更（内容应包括变更的原因、具体的工程量及相应的结算方法）应按不同类别分别编号管理，在工程竣工结算时无论该工程变更是否对工程造价产生影响，承包人均应全部整理上交。若在上交的工程变更中发现有故意缺漏项情况，则全部工程变更将不被发包人认可</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5</w:t>
      </w:r>
      <w:r>
        <w:rPr>
          <w:rFonts w:hint="eastAsia" w:ascii="仿宋" w:hAnsi="仿宋" w:eastAsia="仿宋" w:cs="仿宋"/>
          <w:color w:val="000000"/>
          <w:sz w:val="24"/>
          <w:szCs w:val="24"/>
          <w:highlight w:val="none"/>
          <w:u w:val="single"/>
        </w:rPr>
        <w:t xml:space="preserve">）验收期间，若发包人提出异议，要求承包人整改，承包人应在发包人规定期限内无偿整改，并报请发包人复验，否则发包人有权自行或委托第三方整改，产生的费用由承包人承担</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6</w:t>
      </w:r>
      <w:r>
        <w:rPr>
          <w:rFonts w:hint="eastAsia" w:ascii="仿宋" w:hAnsi="仿宋" w:eastAsia="仿宋" w:cs="仿宋"/>
          <w:color w:val="000000"/>
          <w:sz w:val="24"/>
          <w:szCs w:val="24"/>
          <w:highlight w:val="none"/>
          <w:u w:val="single"/>
        </w:rPr>
        <w:t xml:space="preserve">）建筑垃圾及时清理并袋装化，拆除垃圾不得随意堆弃，承包人自行运至指定的弃置地点。该费用已计入合同价款中，不再另行支付。现场应文明施工，遵守发包人各项管理规定，现场应文明施工，将噪音和其他环境污染影响降到规定要求</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sz w:val="24"/>
          <w:szCs w:val="24"/>
          <w:highlight w:val="non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7</w:t>
      </w:r>
      <w:r>
        <w:rPr>
          <w:rFonts w:hint="eastAsia" w:ascii="仿宋" w:hAnsi="仿宋" w:eastAsia="仿宋" w:cs="仿宋"/>
          <w:color w:val="000000"/>
          <w:sz w:val="24"/>
          <w:szCs w:val="24"/>
          <w:highlight w:val="none"/>
          <w:u w:val="single"/>
        </w:rPr>
        <w:t xml:space="preserve">）承包人已经认真勘察现场，充分了解其施工环境、现场场地情况、用水用电情况、道路、储存空间（材料堆放及料台搭设）、装卸限制、高压线防护、临设搭建及任何其他影响造价及工期的情况，承包人已自行考虑风险并计入合同价中，结算时不予调整</w:t>
      </w:r>
      <w:r>
        <w:rPr>
          <w:rFonts w:hint="eastAsia" w:ascii="仿宋" w:hAnsi="仿宋" w:eastAsia="仿宋" w:cs="仿宋"/>
          <w:color w:val="000000"/>
          <w:sz w:val="24"/>
          <w:szCs w:val="24"/>
          <w:highlight w:val="none"/>
        </w:rPr>
        <w:t xml:space="preserve">；</w:t>
      </w:r>
      <w:r/>
    </w:p>
    <w:p>
      <w:pPr>
        <w:ind w:firstLine="480"/>
        <w:spacing w:line="400" w:lineRule="atLeast"/>
        <w:rPr>
          <w:rFonts w:ascii="仿宋" w:hAnsi="仿宋" w:eastAsia="仿宋" w:cs="仿宋"/>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hint="eastAsia" w:ascii="仿宋" w:hAnsi="仿宋" w:eastAsia="仿宋" w:cs="仿宋"/>
          <w:color w:val="000000"/>
          <w:sz w:val="24"/>
          <w:szCs w:val="24"/>
          <w:highlight w:val="none"/>
          <w:u w:val="single"/>
        </w:rPr>
        <w:t xml:space="preserve">（1</w:t>
      </w:r>
      <w:r>
        <w:rPr>
          <w:rFonts w:hint="eastAsia" w:ascii="仿宋" w:hAnsi="仿宋" w:eastAsia="仿宋" w:cs="仿宋"/>
          <w:color w:val="000000"/>
          <w:sz w:val="24"/>
          <w:szCs w:val="24"/>
          <w:highlight w:val="none"/>
          <w:u w:val="single"/>
          <w:lang w:val="en-US" w:eastAsia="zh-CN"/>
        </w:rPr>
        <w:t xml:space="preserve">8</w:t>
      </w:r>
      <w:r>
        <w:rPr>
          <w:rFonts w:hint="eastAsia" w:ascii="仿宋" w:hAnsi="仿宋" w:eastAsia="仿宋" w:cs="仿宋"/>
          <w:color w:val="000000"/>
          <w:sz w:val="24"/>
          <w:szCs w:val="24"/>
          <w:highlight w:val="none"/>
          <w:u w:val="single"/>
        </w:rPr>
        <w:t xml:space="preserve">）发、承包双方如在本合同的执行过程中，还有需要补充及修正的内容，应在遵循《中华人民共和国建筑法》和《中华人民共和国民法典》及其他有关法律、法规和省市有关规定、条例的前提下另行签订补充协议或条款。补充协议或条款与本合同具有同等法律效力。</w:t>
      </w:r>
      <w:r/>
    </w:p>
    <w:p>
      <w:pPr>
        <w:ind w:firstLine="480"/>
        <w:spacing w:line="400" w:lineRule="atLeast"/>
        <w:rPr>
          <w:rFonts w:ascii="仿宋" w:hAnsi="仿宋" w:eastAsia="仿宋" w:cs="仿宋"/>
          <w:strike/>
          <w:color w:val="000000"/>
          <w:sz w:val="24"/>
          <w:szCs w:val="24"/>
          <w:highlight w:val="none"/>
          <w:u w:val="single"/>
        </w:rPr>
        <w:pBdr>
          <w:top w:val="none" w:color="000000" w:sz="0" w:space="0"/>
          <w:left w:val="none" w:color="000000" w:sz="0" w:space="0"/>
          <w:bottom w:val="none" w:color="000000" w:sz="0" w:space="0"/>
          <w:right w:val="none" w:color="000000" w:sz="0" w:space="0"/>
        </w:pBdr>
      </w:pPr>
      <w:r>
        <w:rPr>
          <w:rFonts w:ascii="仿宋" w:hAnsi="仿宋" w:eastAsia="仿宋" w:cs="仿宋"/>
          <w:strike/>
          <w:color w:val="000000"/>
          <w:sz w:val="24"/>
          <w:szCs w:val="24"/>
          <w:highlight w:val="none"/>
          <w:u w:val="single"/>
        </w:rPr>
      </w:r>
      <w:r/>
    </w:p>
    <w:p>
      <w:pPr>
        <w:spacing w:line="312" w:lineRule="auto"/>
        <w:rPr>
          <w:rFonts w:ascii="仿宋" w:hAnsi="仿宋" w:eastAsia="仿宋" w:cs="仿宋"/>
          <w:b/>
          <w:sz w:val="24"/>
          <w:szCs w:val="24"/>
          <w:highlight w:val="none"/>
        </w:rPr>
      </w:pPr>
      <w:r>
        <w:rPr>
          <w:rFonts w:ascii="仿宋" w:hAnsi="仿宋" w:eastAsia="仿宋" w:cs="仿宋"/>
          <w:b/>
          <w:sz w:val="24"/>
          <w:szCs w:val="24"/>
          <w:highlight w:val="none"/>
        </w:rPr>
      </w:r>
      <w:r/>
    </w:p>
    <w:p>
      <w:pPr>
        <w:spacing w:line="312" w:lineRule="auto"/>
        <w:rPr>
          <w:rFonts w:ascii="仿宋" w:hAnsi="仿宋" w:eastAsia="仿宋" w:cs="仿宋"/>
          <w:b/>
          <w:sz w:val="24"/>
          <w:szCs w:val="24"/>
          <w:highlight w:val="none"/>
        </w:rPr>
      </w:pPr>
      <w:r>
        <w:rPr>
          <w:rFonts w:ascii="仿宋" w:hAnsi="仿宋" w:eastAsia="仿宋" w:cs="仿宋"/>
          <w:b/>
          <w:sz w:val="24"/>
          <w:szCs w:val="24"/>
          <w:highlight w:val="none"/>
        </w:rPr>
      </w:r>
      <w:r/>
    </w:p>
    <w:p>
      <w:pPr>
        <w:spacing w:line="312" w:lineRule="auto"/>
        <w:rPr>
          <w:rFonts w:ascii="仿宋" w:hAnsi="仿宋" w:eastAsia="仿宋" w:cs="仿宋"/>
          <w:b/>
          <w:sz w:val="24"/>
          <w:szCs w:val="24"/>
          <w:highlight w:val="none"/>
        </w:rPr>
      </w:pPr>
      <w:r>
        <w:rPr>
          <w:rFonts w:hint="eastAsia" w:ascii="仿宋" w:hAnsi="仿宋" w:eastAsia="仿宋" w:cs="仿宋"/>
          <w:b/>
          <w:sz w:val="24"/>
          <w:szCs w:val="24"/>
          <w:highlight w:val="none"/>
        </w:rPr>
        <w:t xml:space="preserve">附件</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协议书附件：</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专用合同条款附件：</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附件1：工程质量保修书</w:t>
      </w:r>
      <w:r/>
    </w:p>
    <w:p>
      <w:pPr>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附件2：承包人用于本工程施工的机械设备表</w:t>
      </w:r>
      <w:r/>
    </w:p>
    <w:p>
      <w:pPr>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附件3：承包人主要施工管理人员表</w:t>
      </w:r>
      <w:r/>
    </w:p>
    <w:p>
      <w:pPr>
        <w:jc w:val="left"/>
        <w:spacing w:line="312" w:lineRule="auto"/>
        <w:rPr>
          <w:rFonts w:ascii="仿宋" w:hAnsi="仿宋" w:eastAsia="仿宋" w:cs="仿宋"/>
          <w:sz w:val="24"/>
          <w:szCs w:val="24"/>
          <w:highlight w:val="none"/>
        </w:rPr>
      </w:pPr>
      <w:r>
        <w:rPr>
          <w:rFonts w:hint="eastAsia" w:ascii="仿宋" w:hAnsi="仿宋" w:eastAsia="仿宋" w:cs="仿宋"/>
          <w:sz w:val="24"/>
          <w:szCs w:val="24"/>
          <w:highlight w:val="none"/>
        </w:rPr>
        <w:br/>
      </w:r>
      <w:r/>
    </w:p>
    <w:p>
      <w:pPr>
        <w:spacing w:line="312" w:lineRule="auto"/>
        <w:rPr>
          <w:rFonts w:ascii="仿宋" w:hAnsi="仿宋" w:eastAsia="仿宋" w:cs="仿宋"/>
          <w:sz w:val="24"/>
          <w:szCs w:val="24"/>
          <w:highlight w:val="none"/>
        </w:rPr>
        <w:sectPr>
          <w:headerReference w:type="default" r:id="rId12"/>
          <w:footerReference w:type="default" r:id="rId18"/>
          <w:footerReference w:type="first" r:id="rId19"/>
          <w:footnotePr/>
          <w:endnotePr/>
          <w:type w:val="nextPage"/>
          <w:pgSz w:w="11906" w:h="16838" w:orient="portrait"/>
          <w:pgMar w:top="1440" w:right="1080" w:bottom="1440" w:left="1080" w:header="851" w:footer="992" w:gutter="0"/>
          <w:cols w:num="1" w:sep="0" w:space="1701" w:equalWidth="1"/>
          <w:docGrid w:linePitch="360"/>
          <w:titlePg/>
        </w:sectPr>
      </w:pPr>
      <w:r>
        <w:rPr>
          <w:rFonts w:ascii="仿宋" w:hAnsi="仿宋" w:eastAsia="仿宋" w:cs="仿宋"/>
          <w:sz w:val="24"/>
          <w:szCs w:val="24"/>
          <w:highlight w:val="none"/>
        </w:rPr>
      </w:r>
      <w:r/>
    </w:p>
    <w:p>
      <w:pPr>
        <w:spacing w:line="400" w:lineRule="exact"/>
        <w:rPr>
          <w:rFonts w:ascii="仿宋" w:hAnsi="仿宋" w:eastAsia="仿宋" w:cs="仿宋"/>
          <w:highlight w:val="none"/>
        </w:rPr>
      </w:pPr>
      <w:r>
        <w:rPr>
          <w:rFonts w:hint="eastAsia" w:ascii="仿宋" w:hAnsi="仿宋" w:eastAsia="仿宋" w:cs="仿宋"/>
          <w:sz w:val="24"/>
          <w:szCs w:val="24"/>
          <w:highlight w:val="none"/>
        </w:rPr>
        <w:t xml:space="preserve">附件1： </w:t>
      </w:r>
      <w:r>
        <w:rPr>
          <w:rFonts w:hint="eastAsia" w:ascii="仿宋" w:hAnsi="仿宋" w:eastAsia="仿宋" w:cs="仿宋"/>
          <w:highlight w:val="none"/>
        </w:rPr>
        <w:t xml:space="preserve">  </w:t>
      </w:r>
      <w:r/>
    </w:p>
    <w:p>
      <w:pPr>
        <w:jc w:val="center"/>
        <w:spacing w:before="156" w:after="156" w:line="400" w:lineRule="exact"/>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工程质量保修书</w:t>
      </w:r>
      <w:r/>
    </w:p>
    <w:p>
      <w:pPr>
        <w:spacing w:line="360" w:lineRule="auto"/>
        <w:rPr>
          <w:rFonts w:ascii="仿宋" w:hAnsi="仿宋" w:eastAsia="仿宋" w:cs="仿宋"/>
          <w:sz w:val="24"/>
          <w:szCs w:val="24"/>
          <w:highlight w:val="none"/>
        </w:rPr>
      </w:pPr>
      <w:r>
        <w:rPr>
          <w:rFonts w:hint="eastAsia" w:ascii="仿宋" w:hAnsi="仿宋" w:eastAsia="仿宋" w:cs="仿宋"/>
          <w:b/>
          <w:bCs/>
          <w:sz w:val="24"/>
          <w:szCs w:val="24"/>
          <w:highlight w:val="none"/>
        </w:rPr>
        <w:t xml:space="preserve">发包人</w:t>
      </w:r>
      <w:r>
        <w:rPr>
          <w:rFonts w:hint="eastAsia" w:ascii="仿宋" w:hAnsi="仿宋" w:eastAsia="仿宋" w:cs="仿宋"/>
          <w:sz w:val="24"/>
          <w:szCs w:val="24"/>
          <w:highlight w:val="none"/>
        </w:rPr>
        <w:t xml:space="preserve">（全称）：</w:t>
      </w:r>
      <w:r>
        <w:rPr>
          <w:rFonts w:hint="eastAsia" w:ascii="仿宋" w:hAnsi="仿宋" w:eastAsia="仿宋" w:cs="仿宋"/>
          <w:sz w:val="24"/>
          <w:szCs w:val="24"/>
          <w:highlight w:val="none"/>
          <w:u w:val="single"/>
        </w:rPr>
        <w:t xml:space="preserve">徐州市公安局</w:t>
      </w:r>
      <w:r/>
    </w:p>
    <w:p>
      <w:pPr>
        <w:spacing w:line="360" w:lineRule="auto"/>
        <w:rPr>
          <w:rFonts w:ascii="仿宋" w:hAnsi="仿宋" w:eastAsia="仿宋" w:cs="仿宋"/>
          <w:sz w:val="24"/>
          <w:szCs w:val="24"/>
          <w:highlight w:val="none"/>
        </w:rPr>
      </w:pPr>
      <w:r>
        <w:rPr>
          <w:rFonts w:hint="eastAsia" w:ascii="仿宋" w:hAnsi="仿宋" w:eastAsia="仿宋" w:cs="仿宋"/>
          <w:b/>
          <w:bCs/>
          <w:sz w:val="24"/>
          <w:szCs w:val="24"/>
          <w:highlight w:val="none"/>
        </w:rPr>
        <w:t xml:space="preserve">承包人</w:t>
      </w:r>
      <w:r>
        <w:rPr>
          <w:rFonts w:hint="eastAsia" w:ascii="仿宋" w:hAnsi="仿宋" w:eastAsia="仿宋" w:cs="仿宋"/>
          <w:sz w:val="24"/>
          <w:szCs w:val="24"/>
          <w:highlight w:val="none"/>
        </w:rPr>
        <w:t xml:space="preserve">（全称）： </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发包人和承包人根据《中华人民共和国建筑法》和《建设工程质量管理条例》，经协商一致就</w:t>
      </w:r>
      <w:r>
        <w:rPr>
          <w:rFonts w:hint="eastAsia" w:ascii="仿宋" w:hAnsi="仿宋" w:eastAsia="仿宋" w:cs="仿宋"/>
          <w:bCs/>
          <w:sz w:val="24"/>
          <w:szCs w:val="24"/>
          <w:highlight w:val="none"/>
          <w:u w:val="single"/>
          <w:lang w:eastAsia="zh-CN"/>
        </w:rPr>
        <w:t xml:space="preserve">巡特警支队训练场地整治项目</w:t>
      </w:r>
      <w:r>
        <w:rPr>
          <w:rFonts w:hint="eastAsia" w:ascii="仿宋" w:hAnsi="仿宋" w:eastAsia="仿宋" w:cs="仿宋"/>
          <w:sz w:val="24"/>
          <w:szCs w:val="24"/>
          <w:highlight w:val="none"/>
        </w:rPr>
        <w:t xml:space="preserve">（工程全称）签订工程质量保修书。</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一、工程质量保修范围和内容</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承包人在质量保修期内，按照有关法律规定和合同约定，承担工程质量保修责任。</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具体保修的内容，双方约定如下：</w:t>
      </w:r>
      <w:r/>
    </w:p>
    <w:p>
      <w:pPr>
        <w:ind w:firstLine="401"/>
        <w:spacing w:line="360" w:lineRule="auto"/>
        <w:rPr>
          <w:rFonts w:ascii="仿宋" w:hAnsi="仿宋" w:eastAsia="仿宋" w:cs="仿宋"/>
          <w:sz w:val="24"/>
          <w:szCs w:val="24"/>
          <w:highlight w:val="none"/>
        </w:rPr>
      </w:pPr>
      <w:r>
        <w:rPr>
          <w:rFonts w:hint="eastAsia" w:ascii="仿宋" w:hAnsi="仿宋" w:eastAsia="仿宋" w:cs="仿宋"/>
          <w:b/>
          <w:bCs/>
          <w:sz w:val="24"/>
          <w:szCs w:val="24"/>
          <w:highlight w:val="none"/>
          <w:u w:val="single"/>
        </w:rPr>
        <w:t xml:space="preserve">承包人实施的全部工程，详见工程量清单所含全部内容</w:t>
      </w:r>
      <w:r>
        <w:rPr>
          <w:rFonts w:hint="eastAsia" w:ascii="仿宋" w:hAnsi="仿宋" w:eastAsia="仿宋" w:cs="仿宋"/>
          <w:sz w:val="24"/>
          <w:szCs w:val="24"/>
          <w:highlight w:val="none"/>
        </w:rPr>
        <w:t xml:space="preserve">。</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二、质量保修期</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根据《建设工程质量管理条例》及有关规定，工程的质量保修期如下：</w:t>
      </w:r>
      <w:r/>
    </w:p>
    <w:p>
      <w:pPr>
        <w:ind w:firstLine="399"/>
        <w:spacing w:line="360" w:lineRule="auto"/>
        <w:rPr>
          <w:rFonts w:ascii="仿宋" w:hAnsi="仿宋" w:eastAsia="仿宋" w:cs="仿宋"/>
          <w:strike/>
          <w:sz w:val="24"/>
          <w:szCs w:val="24"/>
          <w:highlight w:val="none"/>
        </w:rPr>
      </w:pPr>
      <w:r>
        <w:rPr>
          <w:rFonts w:hint="eastAsia" w:ascii="仿宋" w:hAnsi="仿宋" w:eastAsia="仿宋" w:cs="仿宋"/>
          <w:sz w:val="24"/>
          <w:szCs w:val="24"/>
          <w:highlight w:val="none"/>
        </w:rPr>
        <w:t xml:space="preserve">1 ．地基基础工程和主体结构工程为设计文件规定的工程合理使用年限；</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rPr>
        <w:t xml:space="preserve"> ．电气管线、给排水管道、设备安装工程为 </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 xml:space="preserve">年；</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 ．工程范围内给排水设施、道路等配套工程为 </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 xml:space="preserve">年；</w:t>
      </w:r>
      <w:r/>
    </w:p>
    <w:p>
      <w:pPr>
        <w:ind w:firstLine="399"/>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 . 绿化工程为  年。</w:t>
      </w:r>
      <w:r/>
    </w:p>
    <w:p>
      <w:pPr>
        <w:ind w:firstLine="399"/>
        <w:spacing w:line="360" w:lineRule="auto"/>
        <w:rPr>
          <w:rFonts w:ascii="仿宋" w:hAnsi="仿宋" w:eastAsia="仿宋" w:cs="仿宋"/>
          <w:sz w:val="24"/>
          <w:szCs w:val="24"/>
          <w:highlight w:val="none"/>
        </w:rPr>
      </w:pPr>
      <w:r>
        <w:rPr>
          <w:rFonts w:ascii="仿宋" w:hAnsi="仿宋" w:eastAsia="仿宋" w:cs="仿宋"/>
          <w:sz w:val="24"/>
          <w:szCs w:val="24"/>
          <w:highlight w:val="none"/>
        </w:rPr>
        <w:t xml:space="preserve">8</w:t>
      </w:r>
      <w:r>
        <w:rPr>
          <w:rFonts w:hint="eastAsia" w:ascii="仿宋" w:hAnsi="仿宋" w:eastAsia="仿宋" w:cs="仿宋"/>
          <w:sz w:val="24"/>
          <w:szCs w:val="24"/>
          <w:highlight w:val="none"/>
        </w:rPr>
        <w:t xml:space="preserve"> ．其他项目保修期限为 </w:t>
      </w:r>
      <w:r>
        <w:rPr>
          <w:rFonts w:ascii="仿宋" w:hAnsi="仿宋" w:eastAsia="仿宋" w:cs="仿宋"/>
          <w:sz w:val="24"/>
          <w:szCs w:val="24"/>
          <w:highlight w:val="none"/>
        </w:rPr>
        <w:t xml:space="preserve">  </w:t>
      </w:r>
      <w:r>
        <w:rPr>
          <w:rFonts w:hint="eastAsia" w:ascii="仿宋" w:hAnsi="仿宋" w:eastAsia="仿宋" w:cs="仿宋"/>
          <w:sz w:val="24"/>
          <w:szCs w:val="24"/>
          <w:highlight w:val="none"/>
        </w:rPr>
        <w:t xml:space="preserve">年。质量保修期自工程竣工验收合格之日起计算。</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三、缺陷责任期</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工程缺陷责任期为</w:t>
      </w:r>
      <w:r>
        <w:rPr>
          <w:rFonts w:ascii="仿宋" w:hAnsi="仿宋" w:eastAsia="仿宋" w:cs="仿宋"/>
          <w:sz w:val="24"/>
          <w:szCs w:val="24"/>
          <w:highlight w:val="none"/>
          <w:u w:val="single"/>
        </w:rPr>
        <w:t xml:space="preserve">   </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个月，缺陷责任期自工程通过竣工验收之日起计算。单位工程先于全部工程进行验收，单位工程缺陷责任期自单位工程验收合格之日起算。</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四、质量保修责任</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1．属于保修范围、内容的项目，承包人应当在接到保修通知之时起</w:t>
      </w:r>
      <w:r>
        <w:rPr>
          <w:rFonts w:ascii="仿宋" w:hAnsi="仿宋" w:eastAsia="仿宋" w:cs="仿宋"/>
          <w:sz w:val="24"/>
          <w:szCs w:val="24"/>
          <w:highlight w:val="none"/>
        </w:rPr>
        <w:t xml:space="preserve">6</w:t>
      </w:r>
      <w:r>
        <w:rPr>
          <w:rFonts w:hint="eastAsia" w:ascii="仿宋" w:hAnsi="仿宋" w:eastAsia="仿宋" w:cs="仿宋"/>
          <w:sz w:val="24"/>
          <w:szCs w:val="24"/>
          <w:highlight w:val="none"/>
        </w:rPr>
        <w:t xml:space="preserve">小时内派人保修。承包人不在约定期限内派人保修的，发包人可以委托他人修理。</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2．发生紧急事故需抢修的，承包人在接到事故通知后，应当立即到达事故现场抢修。</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4．质量保修完成后，由发包人组织验收。</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五、保修费用</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保修费用由造成质量缺陷的责任方承担。</w:t>
      </w:r>
      <w:r/>
    </w:p>
    <w:p>
      <w:pPr>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六、双方约定的其他工程质量保修事项：</w:t>
      </w:r>
      <w:r>
        <w:rPr>
          <w:rFonts w:hint="eastAsia" w:ascii="仿宋" w:hAnsi="仿宋" w:eastAsia="仿宋" w:cs="仿宋"/>
          <w:sz w:val="24"/>
          <w:szCs w:val="24"/>
          <w:highlight w:val="none"/>
          <w:u w:val="single"/>
        </w:rPr>
        <w:t xml:space="preserve">承包人在竣工交付后落实专人负责向发包人办理交付手续，在保修期内承包人明确专人服务。承包人在竣工交付的同时以公函形式明确人员、联系方法、通讯地址，在保修期内如有变化，承包人应以公函形式告知发包人，联系不上、保修函被退回的情况均视为已通知到承包人。（2）如因承包人的责任，造成直接或间接损失，由承包人负责赔偿。</w:t>
      </w:r>
      <w:r/>
    </w:p>
    <w:p>
      <w:pPr>
        <w:ind w:firstLine="399"/>
        <w:spacing w:line="360" w:lineRule="auto"/>
        <w:rPr>
          <w:rFonts w:ascii="仿宋" w:hAnsi="仿宋" w:eastAsia="仿宋" w:cs="仿宋"/>
          <w:sz w:val="24"/>
          <w:szCs w:val="24"/>
          <w:highlight w:val="none"/>
        </w:rPr>
      </w:pPr>
      <w:r>
        <w:rPr>
          <w:rFonts w:hint="eastAsia" w:ascii="仿宋" w:hAnsi="仿宋" w:eastAsia="仿宋" w:cs="仿宋"/>
          <w:sz w:val="24"/>
          <w:szCs w:val="24"/>
          <w:highlight w:val="none"/>
        </w:rPr>
        <w:t xml:space="preserve">工程质量保修书由发包人、承包人在工程竣工验收前共同签署，作为施工合同附件，其有效期限至保修期满。</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发包人(公章)：</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承包人(公章)：</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地  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地址：</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法定代表人(签字)：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法定代表人(签字)：</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委托代理人(签字)：</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委托代理人(签字)：</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电  话：</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电  话：</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传  真：</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传  真：</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开户银行：</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开户银行：</w:t>
      </w:r>
      <w:r>
        <w:rPr>
          <w:rFonts w:hint="eastAsia" w:ascii="仿宋" w:hAnsi="仿宋" w:eastAsia="仿宋" w:cs="仿宋"/>
          <w:sz w:val="24"/>
          <w:szCs w:val="24"/>
          <w:highlight w:val="none"/>
          <w:u w:val="single"/>
        </w:rPr>
        <w:t xml:space="preserve">         </w:t>
      </w:r>
      <w:r/>
    </w:p>
    <w:p>
      <w:pPr>
        <w:spacing w:line="400" w:lineRule="exact"/>
        <w:rPr>
          <w:rFonts w:ascii="仿宋" w:hAnsi="仿宋" w:eastAsia="仿宋" w:cs="仿宋"/>
          <w:sz w:val="24"/>
          <w:szCs w:val="24"/>
          <w:highlight w:val="none"/>
        </w:rPr>
      </w:pPr>
      <w:r>
        <w:rPr>
          <w:rFonts w:hint="eastAsia" w:ascii="仿宋" w:hAnsi="仿宋" w:eastAsia="仿宋" w:cs="仿宋"/>
          <w:sz w:val="24"/>
          <w:szCs w:val="24"/>
          <w:highlight w:val="none"/>
        </w:rPr>
        <w:t xml:space="preserve">账  号：</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               账  号：</w:t>
      </w:r>
      <w:r>
        <w:rPr>
          <w:rFonts w:hint="eastAsia" w:ascii="仿宋" w:hAnsi="仿宋" w:eastAsia="仿宋" w:cs="仿宋"/>
          <w:sz w:val="24"/>
          <w:szCs w:val="24"/>
          <w:highlight w:val="none"/>
          <w:u w:val="single"/>
        </w:rPr>
        <w:t xml:space="preserve">              </w:t>
      </w:r>
      <w:r/>
    </w:p>
    <w:p>
      <w:pPr>
        <w:jc w:val="left"/>
        <w:spacing w:line="440" w:lineRule="exact"/>
        <w:rPr>
          <w:rFonts w:ascii="仿宋" w:hAnsi="仿宋" w:eastAsia="仿宋" w:cs="仿宋"/>
          <w:highlight w:val="none"/>
        </w:rPr>
      </w:pPr>
      <w:r>
        <w:rPr>
          <w:rFonts w:hint="eastAsia" w:ascii="仿宋" w:hAnsi="仿宋" w:eastAsia="仿宋" w:cs="仿宋"/>
          <w:sz w:val="24"/>
          <w:szCs w:val="24"/>
          <w:highlight w:val="none"/>
        </w:rPr>
        <w:t xml:space="preserve">邮政编码：                                    邮政编码：</w:t>
      </w:r>
      <w:r>
        <w:rPr>
          <w:rFonts w:hint="eastAsia" w:ascii="仿宋" w:hAnsi="仿宋" w:eastAsia="仿宋" w:cs="仿宋"/>
          <w:sz w:val="24"/>
          <w:szCs w:val="24"/>
          <w:highlight w:val="none"/>
          <w:u w:val="single"/>
        </w:rPr>
        <w:t xml:space="preserve"> </w:t>
      </w:r>
      <w:r>
        <w:rPr>
          <w:rFonts w:hint="eastAsia" w:ascii="仿宋" w:hAnsi="仿宋" w:eastAsia="仿宋" w:cs="仿宋"/>
          <w:b/>
          <w:sz w:val="24"/>
          <w:szCs w:val="24"/>
          <w:highlight w:val="none"/>
        </w:rPr>
        <w:br w:type="page" w:clear="all"/>
      </w:r>
      <w:r>
        <w:rPr>
          <w:rFonts w:hint="eastAsia" w:ascii="仿宋" w:hAnsi="仿宋" w:eastAsia="仿宋" w:cs="仿宋"/>
          <w:highlight w:val="none"/>
        </w:rPr>
        <w:t xml:space="preserve">附件2：</w:t>
      </w:r>
      <w:r/>
    </w:p>
    <w:p>
      <w:pPr>
        <w:jc w:val="center"/>
        <w:spacing w:before="156" w:after="156" w:line="440" w:lineRule="exact"/>
        <w:rPr>
          <w:rFonts w:ascii="仿宋" w:hAnsi="仿宋" w:eastAsia="仿宋" w:cs="仿宋"/>
          <w:highlight w:val="none"/>
        </w:rPr>
      </w:pPr>
      <w:r>
        <w:rPr>
          <w:rFonts w:hint="eastAsia" w:ascii="仿宋" w:hAnsi="仿宋" w:eastAsia="仿宋" w:cs="仿宋"/>
          <w:highlight w:val="none"/>
        </w:rPr>
        <w:t xml:space="preserve">承包人用于本工程施工的机械设备表</w:t>
      </w:r>
      <w:r/>
    </w:p>
    <w:tbl>
      <w:tblPr>
        <w:tblStyle w:val="1058"/>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161"/>
        <w:gridCol w:w="1417"/>
        <w:gridCol w:w="849"/>
        <w:gridCol w:w="1057"/>
        <w:gridCol w:w="879"/>
        <w:gridCol w:w="1019"/>
        <w:gridCol w:w="1479"/>
        <w:gridCol w:w="1020"/>
        <w:gridCol w:w="921"/>
      </w:tblGrid>
      <w:tr>
        <w:trPr>
          <w:jc w:val="center"/>
        </w:trPr>
        <w:tc>
          <w:tcPr>
            <w:tcW w:w="1161"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序号</w:t>
            </w:r>
            <w:r/>
          </w:p>
        </w:tc>
        <w:tc>
          <w:tcPr>
            <w:tcW w:w="1417"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机械或设备名称</w:t>
            </w:r>
            <w:r/>
          </w:p>
        </w:tc>
        <w:tc>
          <w:tcPr>
            <w:tcW w:w="84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规格型号</w:t>
            </w:r>
            <w:r/>
          </w:p>
        </w:tc>
        <w:tc>
          <w:tcPr>
            <w:tcW w:w="1057"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数量</w:t>
            </w:r>
            <w:r/>
          </w:p>
        </w:tc>
        <w:tc>
          <w:tcPr>
            <w:tcW w:w="87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产地</w:t>
            </w:r>
            <w:r/>
          </w:p>
        </w:tc>
        <w:tc>
          <w:tcPr>
            <w:tcW w:w="101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制造年份</w:t>
            </w:r>
            <w:r/>
          </w:p>
        </w:tc>
        <w:tc>
          <w:tcPr>
            <w:tcW w:w="1479"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额定功率(kW)</w:t>
            </w:r>
            <w:r/>
          </w:p>
        </w:tc>
        <w:tc>
          <w:tcPr>
            <w:tcW w:w="1020"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生产能力</w:t>
            </w:r>
            <w:r/>
          </w:p>
        </w:tc>
        <w:tc>
          <w:tcPr>
            <w:tcW w:w="921" w:type="dxa"/>
            <w:vAlign w:val="center"/>
            <w:textDirection w:val="lrTb"/>
            <w:noWrap w:val="false"/>
          </w:tcPr>
          <w:p>
            <w:pPr>
              <w:ind w:right="72"/>
              <w:jc w:val="center"/>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备注</w:t>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5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8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1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7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02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921"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r>
        <w:trPr>
          <w:jc w:val="center"/>
          <w:trHeight w:val="567"/>
        </w:trPr>
        <w:tc>
          <w:tcPr>
            <w:tcW w:w="1161"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1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4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57"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8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1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479"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1020" w:type="dxa"/>
            <w:textDirection w:val="lrTb"/>
            <w:noWrap w:val="false"/>
          </w:tcPr>
          <w:p>
            <w:pPr>
              <w:rPr>
                <w:rFonts w:ascii="仿宋" w:hAnsi="仿宋" w:eastAsia="仿宋" w:cs="仿宋"/>
                <w:highlight w:val="none"/>
              </w:rPr>
            </w:pPr>
            <w:r>
              <w:rPr>
                <w:rFonts w:ascii="仿宋" w:hAnsi="仿宋" w:eastAsia="仿宋" w:cs="仿宋"/>
                <w:highlight w:val="none"/>
              </w:rPr>
            </w:r>
            <w:r/>
          </w:p>
        </w:tc>
        <w:tc>
          <w:tcPr>
            <w:tcW w:w="921" w:type="dxa"/>
            <w:textDirection w:val="lrTb"/>
            <w:noWrap w:val="false"/>
          </w:tcPr>
          <w:p>
            <w:pPr>
              <w:rPr>
                <w:rFonts w:ascii="仿宋" w:hAnsi="仿宋" w:eastAsia="仿宋" w:cs="仿宋"/>
                <w:highlight w:val="none"/>
              </w:rPr>
            </w:pPr>
            <w:r>
              <w:rPr>
                <w:rFonts w:ascii="仿宋" w:hAnsi="仿宋" w:eastAsia="仿宋" w:cs="仿宋"/>
                <w:highlight w:val="none"/>
              </w:rPr>
            </w:r>
            <w:r/>
          </w:p>
        </w:tc>
      </w:tr>
    </w:tbl>
    <w:p>
      <w:pPr>
        <w:spacing w:line="440" w:lineRule="exact"/>
        <w:rPr>
          <w:rFonts w:ascii="仿宋" w:hAnsi="仿宋" w:eastAsia="仿宋" w:cs="仿宋"/>
          <w:highlight w:val="none"/>
        </w:rPr>
      </w:pPr>
      <w:r>
        <w:rPr>
          <w:rFonts w:ascii="仿宋" w:hAnsi="仿宋" w:eastAsia="仿宋" w:cs="仿宋"/>
          <w:highlight w:val="none"/>
        </w:rPr>
      </w:r>
      <w:r/>
    </w:p>
    <w:p>
      <w:pPr>
        <w:spacing w:line="440" w:lineRule="exact"/>
        <w:rPr>
          <w:rFonts w:ascii="仿宋" w:hAnsi="仿宋" w:eastAsia="仿宋" w:cs="仿宋"/>
          <w:highlight w:val="none"/>
        </w:rPr>
      </w:pPr>
      <w:r>
        <w:rPr>
          <w:rFonts w:hint="eastAsia" w:ascii="仿宋" w:hAnsi="仿宋" w:eastAsia="仿宋" w:cs="仿宋"/>
          <w:highlight w:val="none"/>
        </w:rPr>
        <w:t xml:space="preserve">附件3：</w:t>
      </w:r>
      <w:r/>
    </w:p>
    <w:p>
      <w:pPr>
        <w:jc w:val="center"/>
        <w:spacing w:before="156" w:after="156" w:line="440" w:lineRule="exact"/>
        <w:rPr>
          <w:rFonts w:ascii="仿宋" w:hAnsi="仿宋" w:eastAsia="仿宋" w:cs="仿宋"/>
          <w:highlight w:val="none"/>
        </w:rPr>
      </w:pPr>
      <w:r>
        <w:rPr>
          <w:rFonts w:hint="eastAsia" w:ascii="仿宋" w:hAnsi="仿宋" w:eastAsia="仿宋" w:cs="仿宋"/>
          <w:highlight w:val="none"/>
        </w:rPr>
        <w:t xml:space="preserve">承包人主要施工管理人员表</w:t>
      </w:r>
      <w:r/>
    </w:p>
    <w:tbl>
      <w:tblPr>
        <w:tblStyle w:val="1058"/>
        <w:tblW w:w="9802" w:type="dxa"/>
        <w:jc w:val="cente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Layout w:type="fixed"/>
        <w:tblCellMar>
          <w:left w:w="28" w:type="dxa"/>
          <w:top w:w="0" w:type="dxa"/>
          <w:right w:w="28" w:type="dxa"/>
          <w:bottom w:w="0" w:type="dxa"/>
        </w:tblCellMar>
        <w:tblLook w:val="04A0" w:firstRow="1" w:lastRow="0" w:firstColumn="1" w:lastColumn="0" w:noHBand="0" w:noVBand="1"/>
      </w:tblPr>
      <w:tblGrid>
        <w:gridCol w:w="1870"/>
        <w:gridCol w:w="1417"/>
        <w:gridCol w:w="1133"/>
        <w:gridCol w:w="1133"/>
        <w:gridCol w:w="4249"/>
      </w:tblGrid>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名    称</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姓名</w:t>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职务</w:t>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职称</w:t>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主要资历、经验及承担过的项目</w:t>
            </w:r>
            <w:r/>
          </w:p>
        </w:tc>
      </w:tr>
      <w:tr>
        <w:trPr>
          <w:jc w:val="center"/>
        </w:trPr>
        <w:tc>
          <w:tcPr>
            <w:gridSpan w:val="5"/>
            <w:tcW w:w="9802"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一、总部人员</w:t>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项目主管</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其他人员</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gridSpan w:val="5"/>
            <w:tcW w:w="9802"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二、现场人员</w:t>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项目经理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项目副经理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技术负责人</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造价管理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质量管理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材料管理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计划管理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安全管理</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restart"/>
            <w:textDirection w:val="lrTb"/>
            <w:noWrap w:val="false"/>
          </w:tcPr>
          <w:p>
            <w:pPr>
              <w:ind w:right="72"/>
              <w:keepNext/>
              <w:spacing w:after="120" w:line="440" w:lineRule="exact"/>
              <w:rPr>
                <w:rFonts w:ascii="仿宋" w:hAnsi="仿宋" w:eastAsia="仿宋" w:cs="仿宋"/>
                <w:sz w:val="24"/>
                <w:highlight w:val="none"/>
              </w:rPr>
            </w:pPr>
            <w:r>
              <w:rPr>
                <w:rFonts w:hint="eastAsia" w:ascii="仿宋" w:hAnsi="仿宋" w:eastAsia="仿宋" w:cs="仿宋"/>
                <w:sz w:val="24"/>
                <w:highlight w:val="none"/>
              </w:rPr>
              <w:t xml:space="preserve">其他人员</w:t>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r>
        <w:trPr>
          <w:jc w:val="center"/>
        </w:trPr>
        <w:tc>
          <w:tcPr>
            <w:tcW w:w="1870" w:type="dxa"/>
            <w:vAlign w:val="center"/>
            <w:vMerge w:val="continue"/>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417"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1133"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c>
          <w:tcPr>
            <w:tcW w:w="4249" w:type="dxa"/>
            <w:vAlign w:val="center"/>
            <w:textDirection w:val="lrTb"/>
            <w:noWrap w:val="false"/>
          </w:tcPr>
          <w:p>
            <w:pPr>
              <w:ind w:right="72"/>
              <w:keepNext/>
              <w:spacing w:after="120" w:line="440" w:lineRule="exact"/>
              <w:rPr>
                <w:rFonts w:ascii="仿宋" w:hAnsi="仿宋" w:eastAsia="仿宋" w:cs="仿宋"/>
                <w:sz w:val="24"/>
                <w:highlight w:val="none"/>
              </w:rPr>
            </w:pPr>
            <w:r>
              <w:rPr>
                <w:rFonts w:ascii="仿宋" w:hAnsi="仿宋" w:eastAsia="仿宋" w:cs="仿宋"/>
                <w:sz w:val="24"/>
                <w:highlight w:val="none"/>
              </w:rPr>
            </w:r>
            <w:r/>
          </w:p>
        </w:tc>
      </w:tr>
    </w:tbl>
    <w:p>
      <w:pPr>
        <w:pStyle w:val="1404"/>
        <w:ind w:left="0" w:right="0" w:firstLine="0"/>
        <w:widowControl w:val="off"/>
        <w:rPr>
          <w:rFonts w:ascii="仿宋" w:hAnsi="仿宋" w:eastAsia="仿宋" w:cs="仿宋"/>
          <w:sz w:val="21"/>
          <w:szCs w:val="21"/>
          <w:highlight w:val="none"/>
        </w:rPr>
      </w:pPr>
      <w:r>
        <w:rPr>
          <w:rFonts w:ascii="仿宋" w:hAnsi="仿宋" w:eastAsia="仿宋" w:cs="仿宋"/>
          <w:sz w:val="21"/>
          <w:szCs w:val="21"/>
          <w:highlight w:val="none"/>
        </w:rPr>
      </w:r>
      <w:r/>
    </w:p>
    <w:p>
      <w:pPr>
        <w:pStyle w:val="1270"/>
        <w:jc w:val="center"/>
        <w:spacing w:line="360" w:lineRule="auto"/>
        <w:rPr>
          <w:rStyle w:val="1312"/>
          <w:rFonts w:ascii="仿宋" w:hAnsi="仿宋" w:eastAsia="仿宋" w:cs="仿宋"/>
          <w:b/>
          <w:bCs/>
          <w:highlight w:val="none"/>
        </w:rPr>
      </w:pPr>
      <w:r>
        <w:rPr>
          <w:rStyle w:val="1312"/>
          <w:rFonts w:hint="eastAsia" w:ascii="仿宋" w:hAnsi="仿宋" w:eastAsia="仿宋" w:cs="仿宋"/>
          <w:b/>
          <w:bCs/>
          <w:sz w:val="28"/>
          <w:highlight w:val="none"/>
        </w:rPr>
        <w:t xml:space="preserve">8、承诺书</w:t>
      </w:r>
      <w:bookmarkEnd w:id="19"/>
      <w:r/>
      <w:r/>
    </w:p>
    <w:p>
      <w:pPr>
        <w:pStyle w:val="127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致</w:t>
      </w:r>
      <w:r>
        <w:rPr>
          <w:rStyle w:val="1312"/>
          <w:rFonts w:hint="eastAsia" w:ascii="仿宋" w:hAnsi="仿宋" w:eastAsia="仿宋" w:cs="仿宋"/>
          <w:sz w:val="24"/>
          <w:highlight w:val="none"/>
          <w:u w:val="single"/>
        </w:rPr>
        <w:t xml:space="preserve">徐州保平建设项目管理咨询有限公司</w:t>
      </w:r>
      <w:r>
        <w:rPr>
          <w:rStyle w:val="1312"/>
          <w:rFonts w:hint="eastAsia" w:ascii="仿宋" w:hAnsi="仿宋" w:eastAsia="仿宋" w:cs="仿宋"/>
          <w:sz w:val="24"/>
          <w:highlight w:val="none"/>
        </w:rPr>
        <w:t xml:space="preserve">：</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Style w:val="1312"/>
          <w:rFonts w:hint="eastAsia" w:ascii="仿宋" w:hAnsi="仿宋" w:eastAsia="仿宋" w:cs="仿宋"/>
          <w:sz w:val="24"/>
          <w:highlight w:val="none"/>
        </w:rPr>
        <w:t xml:space="preserve">根据贵方《磋商文件》（项目编号：）要求，本供应商正式提交以下首次响应文件。</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8" name="直接连接符 8"/>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flip:y;visibility:visible;" from="147.0pt,1.3pt" to="147.1pt,2.6pt" fillcolor="#FFFFFF" strokecolor="#000000"/>
            </w:pict>
          </mc:Fallback>
        </mc:AlternateContent>
      </w:r>
      <w:r>
        <w:rPr>
          <w:rStyle w:val="1312"/>
          <w:rFonts w:hint="eastAsia" w:ascii="仿宋" w:hAnsi="仿宋" w:eastAsia="仿宋" w:cs="仿宋"/>
          <w:sz w:val="24"/>
          <w:highlight w:val="none"/>
        </w:rPr>
        <w:t xml:space="preserve">（1）承诺书； </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Style w:val="1312"/>
          <w:rFonts w:hint="eastAsia" w:ascii="仿宋" w:hAnsi="仿宋" w:eastAsia="仿宋" w:cs="仿宋"/>
          <w:sz w:val="24"/>
          <w:highlight w:val="none"/>
        </w:rPr>
        <w:t xml:space="preserve">（2）磋商报价表； </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Style w:val="1312"/>
          <w:rFonts w:hint="eastAsia" w:ascii="仿宋" w:hAnsi="仿宋" w:eastAsia="仿宋" w:cs="仿宋"/>
          <w:sz w:val="24"/>
          <w:highlight w:val="none"/>
        </w:rPr>
        <w:t xml:space="preserve">（3）偏离表；</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Style w:val="1312"/>
          <w:rFonts w:hint="eastAsia" w:ascii="仿宋" w:hAnsi="仿宋" w:eastAsia="仿宋" w:cs="仿宋"/>
          <w:sz w:val="24"/>
          <w:highlight w:val="none"/>
        </w:rPr>
        <w:t xml:space="preserve">（4）磋商文件要求提供的其他响应文件。</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Style w:val="1312"/>
          <w:rFonts w:hint="eastAsia" w:ascii="仿宋" w:hAnsi="仿宋" w:eastAsia="仿宋" w:cs="仿宋"/>
          <w:sz w:val="24"/>
          <w:highlight w:val="none"/>
        </w:rPr>
        <w:t xml:space="preserve">我单位符合《中华人民共和国政府采购法》第二十二条的规定，符合本项目供应商资格要求。</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Style w:val="1312"/>
          <w:rFonts w:hint="eastAsia" w:ascii="仿宋" w:hAnsi="仿宋" w:eastAsia="仿宋" w:cs="仿宋"/>
          <w:sz w:val="24"/>
          <w:highlight w:val="none"/>
        </w:rPr>
        <w:t xml:space="preserve">我单位按照磋商文件的要求编制响应文件，并对其提交的响应文件的真实性、合法性承担法律责任。</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供应商兹宣布同意如下： </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9"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8" o:spid="_x0000_s8" style="position:absolute;left:0;text-align:left;z-index:251662336;mso-wrap-distance-left:9.0pt;mso-wrap-distance-top:0.0pt;mso-wrap-distance-right:9.0pt;mso-wrap-distance-bottom:0.0pt;visibility:visible;" from="246.8pt,23.4pt" to="246.8pt,23.4pt" fillcolor="#FFFFFF" strokecolor="#000000"/>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10"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9" o:spid="_x0000_s9" style="position:absolute;left:0;text-align:left;z-index:251663360;mso-wrap-distance-left:9.0pt;mso-wrap-distance-top:0.0pt;mso-wrap-distance-right:9.0pt;mso-wrap-distance-bottom:0.0pt;visibility:visible;" from="220.5pt,46.8pt" to="220.6pt,46.8pt" fillcolor="#FFFFFF" strokecolor="#000000"/>
            </w:pict>
          </mc:Fallback>
        </mc:AlternateContent>
      </w:r>
      <w:r>
        <w:rPr>
          <w:rStyle w:val="1312"/>
          <w:rFonts w:hint="eastAsia" w:ascii="仿宋" w:hAnsi="仿宋" w:eastAsia="仿宋" w:cs="仿宋"/>
          <w:sz w:val="24"/>
          <w:highlight w:val="none"/>
        </w:rPr>
        <w:t xml:space="preserve">一、完全承担根据《磋商文件》规定完成合同的责任和义务（如有偏离，将全部填写在偏离表中）。</w:t>
      </w:r>
      <w:r/>
    </w:p>
    <w:p>
      <w:pPr>
        <w:pStyle w:val="1270"/>
        <w:ind w:firstLine="480"/>
        <w:jc w:val="left"/>
        <w:spacing w:line="380" w:lineRule="exact"/>
        <w:widowControl w:val="off"/>
        <w:tabs>
          <w:tab w:val="right" w:pos="4153" w:leader="none"/>
          <w:tab w:val="left" w:pos="8306" w:leader="underscore"/>
        </w:tabs>
        <w:rPr>
          <w:rStyle w:val="1312"/>
          <w:rFonts w:ascii="仿宋" w:hAnsi="仿宋" w:eastAsia="仿宋" w:cs="仿宋"/>
          <w:sz w:val="24"/>
          <w:highlight w:val="none"/>
        </w:rPr>
      </w:pP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1"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0" o:spid="_x0000_s10" style="position:absolute;left:0;text-align:left;z-index:251664384;mso-wrap-distance-left:9.0pt;mso-wrap-distance-top:0.0pt;mso-wrap-distance-right:9.0pt;mso-wrap-distance-bottom:0.0pt;visibility:visible;" from="210.0pt,19.5pt" to="210.1pt,19.5pt" fillcolor="#FFFFFF" strokecolor="#000000"/>
            </w:pict>
          </mc:Fallback>
        </mc:AlternateContent>
      </w:r>
      <w:r>
        <w:rPr>
          <w:rFonts w:hint="eastAsia" w:ascii="仿宋" w:hAnsi="仿宋" w:eastAsia="仿宋" w:cs="仿宋"/>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2"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miter/>
                        </a:ln>
                      </wps:spPr>
                      <wps:bodyPr rot="0">
                        <a:prstTxWarp prst="textNoShape">
                          <a:avLst/>
                        </a:prstTxWarp>
                        <a:noAutofit/>
                      </wps:bodyPr>
                    </wps:wsp>
                  </a:graphicData>
                </a:graphic>
              </wp:anchor>
            </w:drawing>
          </mc:Choice>
          <mc:Fallback>
            <w:pict>
              <v:line id="shape 11" o:spid="_x0000_s11" style="position:absolute;left:0;text-align:left;z-index:251665408;mso-wrap-distance-left:9.0pt;mso-wrap-distance-top:0.0pt;mso-wrap-distance-right:9.0pt;mso-wrap-distance-bottom:0.0pt;visibility:visible;" from="210.0pt,19.5pt" to="210.1pt,19.5pt" fillcolor="#FFFFFF" strokecolor="#000000"/>
            </w:pict>
          </mc:Fallback>
        </mc:AlternateContent>
      </w:r>
      <w:r>
        <w:rPr>
          <w:rStyle w:val="1312"/>
          <w:rFonts w:hint="eastAsia" w:ascii="仿宋" w:hAnsi="仿宋" w:eastAsia="仿宋" w:cs="仿宋"/>
          <w:sz w:val="24"/>
          <w:highlight w:val="none"/>
        </w:rPr>
        <w:t xml:space="preserve">二、保证所提供的响应文件及所有材料的真实、合法、有效，并对其负责。</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三、已详细审核竞争性磋商文件（含竞争性磋商文件的澄清或者修改），本供应商完全理解并同意放弃对这方面不明及误解的权利。</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四、所供货物保证符合国家有关产品质量、性能和安全标准，无权利瑕疵。</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五、报价有效期为30个工作日。</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六、同意向贵方提供贵方可能要求的与本次磋商采购有关的任何证据或资料。</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七、完全理解贵方不一定要接受最低的报价或收到的任何报价。</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八、徐州保平建设项目管理咨询有限公司有权将我单位本项目的《磋商报价表》和《分项价格表》予以公示，公示的方式由徐州保平建设项目管理咨询有限公司确定。</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九、采购人有权对供应商的响应文件的真实性</w:t>
      </w:r>
      <w:r>
        <w:rPr>
          <w:rStyle w:val="1312"/>
          <w:rFonts w:hint="eastAsia" w:ascii="仿宋" w:hAnsi="仿宋" w:eastAsia="仿宋" w:cs="仿宋"/>
          <w:bCs/>
          <w:sz w:val="24"/>
          <w:highlight w:val="none"/>
        </w:rPr>
        <w:t xml:space="preserve">进行核实，签订合同前，成交供应商必须向采购人提交其响应文件中所有扫描件的原件，采购人核查无误后，签订合同。如成交供应商不能在采购人规定的时间内向采购人提供原件，将被采购人视为放弃成交资格</w:t>
      </w:r>
      <w:r>
        <w:rPr>
          <w:rStyle w:val="1312"/>
          <w:rFonts w:hint="eastAsia" w:ascii="仿宋" w:hAnsi="仿宋" w:eastAsia="仿宋" w:cs="仿宋"/>
          <w:sz w:val="24"/>
          <w:highlight w:val="none"/>
        </w:rPr>
        <w:t xml:space="preserve">。</w:t>
      </w:r>
      <w:r/>
    </w:p>
    <w:p>
      <w:pPr>
        <w:pStyle w:val="1270"/>
        <w:ind w:firstLine="48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十、供应商同意按照磋商文件的有关规定支付招标代理服务费。 </w:t>
      </w:r>
      <w:r/>
    </w:p>
    <w:p>
      <w:pPr>
        <w:pStyle w:val="1270"/>
        <w:ind w:firstLine="396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供应商（</w:t>
      </w:r>
      <w:r>
        <w:rPr>
          <w:rStyle w:val="1312"/>
          <w:rFonts w:hint="eastAsia" w:ascii="仿宋" w:hAnsi="仿宋" w:eastAsia="仿宋" w:cs="仿宋"/>
          <w:sz w:val="24"/>
          <w:szCs w:val="24"/>
          <w:highlight w:val="none"/>
        </w:rPr>
        <w:t xml:space="preserve">电子签章</w:t>
      </w:r>
      <w:r>
        <w:rPr>
          <w:rStyle w:val="1312"/>
          <w:rFonts w:hint="eastAsia" w:ascii="仿宋" w:hAnsi="仿宋" w:eastAsia="仿宋" w:cs="仿宋"/>
          <w:sz w:val="24"/>
          <w:highlight w:val="none"/>
        </w:rPr>
        <w:t xml:space="preserve">）：</w:t>
      </w:r>
      <w:r/>
    </w:p>
    <w:p>
      <w:pPr>
        <w:pStyle w:val="1270"/>
        <w:ind w:firstLine="396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法定代表人或授权代表（签字或盖章）：  </w:t>
      </w:r>
      <w:r/>
    </w:p>
    <w:p>
      <w:pPr>
        <w:pStyle w:val="1270"/>
        <w:ind w:firstLine="396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联系电话：</w:t>
      </w:r>
      <w:r/>
    </w:p>
    <w:p>
      <w:pPr>
        <w:pStyle w:val="1270"/>
        <w:ind w:firstLine="3960"/>
        <w:jc w:val="left"/>
        <w:spacing w:line="38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日期：</w:t>
      </w:r>
      <w:r/>
    </w:p>
    <w:p>
      <w:pPr>
        <w:pStyle w:val="1270"/>
        <w:ind w:firstLine="480"/>
        <w:jc w:val="left"/>
        <w:spacing w:line="288" w:lineRule="auto"/>
        <w:widowControl w:val="off"/>
        <w:rPr>
          <w:rStyle w:val="1312"/>
          <w:rFonts w:ascii="仿宋" w:hAnsi="仿宋" w:eastAsia="仿宋" w:cs="仿宋"/>
          <w:sz w:val="24"/>
          <w:highlight w:val="none"/>
        </w:rPr>
      </w:pPr>
      <w:r>
        <w:rPr>
          <w:rFonts w:hint="eastAsia" w:ascii="仿宋" w:hAnsi="仿宋" w:eastAsia="仿宋" w:cs="仿宋"/>
          <w:highlight w:val="none"/>
        </w:rPr>
        <w:br w:type="page" w:clear="all"/>
      </w:r>
      <w:r/>
    </w:p>
    <w:p>
      <w:pPr>
        <w:pStyle w:val="1279"/>
        <w:jc w:val="center"/>
        <w:keepLines w:val="0"/>
        <w:keepNext w:val="0"/>
        <w:widowControl w:val="off"/>
        <w:rPr>
          <w:rStyle w:val="1312"/>
          <w:rFonts w:ascii="仿宋" w:hAnsi="仿宋" w:eastAsia="仿宋" w:cs="仿宋"/>
          <w:sz w:val="28"/>
          <w:highlight w:val="none"/>
        </w:rPr>
      </w:pPr>
      <w:r/>
      <w:bookmarkStart w:id="20" w:name="_Toc7051"/>
      <w:r>
        <w:rPr>
          <w:rStyle w:val="1312"/>
          <w:rFonts w:hint="eastAsia" w:ascii="仿宋" w:hAnsi="仿宋" w:eastAsia="仿宋" w:cs="仿宋"/>
          <w:sz w:val="28"/>
          <w:highlight w:val="none"/>
        </w:rPr>
        <w:t xml:space="preserve">9、授权委托书</w:t>
      </w:r>
      <w:bookmarkEnd w:id="20"/>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委托人（全称）：</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地  址：</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法定代表人：              </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统一社会信用代码：</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受托人：                  先生（女士）</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身份证号：</w:t>
      </w:r>
      <w:r/>
    </w:p>
    <w:p>
      <w:pPr>
        <w:pStyle w:val="1270"/>
        <w:ind w:firstLine="48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兹委托（            ）全权代表我企业（公司）参与</w:t>
      </w:r>
      <w:r>
        <w:rPr>
          <w:rStyle w:val="1312"/>
          <w:rFonts w:hint="eastAsia" w:ascii="仿宋" w:hAnsi="仿宋" w:eastAsia="仿宋" w:cs="仿宋"/>
          <w:sz w:val="24"/>
          <w:highlight w:val="none"/>
          <w:u w:val="single"/>
        </w:rPr>
        <w:t xml:space="preserve">巡特警支队训练场地整治项目</w:t>
      </w:r>
      <w:r>
        <w:rPr>
          <w:rStyle w:val="1312"/>
          <w:rFonts w:hint="eastAsia" w:ascii="仿宋" w:hAnsi="仿宋" w:eastAsia="仿宋" w:cs="仿宋"/>
          <w:sz w:val="24"/>
          <w:highlight w:val="none"/>
        </w:rPr>
        <w:t xml:space="preserve"> [项目编号：]的磋商活动及签订合同。（         ）以我企业（公司）名义所为的行为及签署的文件，我企业（公司）均予以认可。有关法律责任均由我企业（公司）承担。（         ）无转委托权。委托期限自   年  月   日起至  年  月    日止。</w:t>
      </w:r>
      <w:r/>
    </w:p>
    <w:p>
      <w:pPr>
        <w:pStyle w:val="1270"/>
        <w:ind w:firstLine="4560"/>
        <w:jc w:val="left"/>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ind w:firstLine="456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委托人（</w:t>
      </w:r>
      <w:r>
        <w:rPr>
          <w:rStyle w:val="1312"/>
          <w:rFonts w:hint="eastAsia" w:ascii="仿宋" w:hAnsi="仿宋" w:eastAsia="仿宋" w:cs="仿宋"/>
          <w:sz w:val="24"/>
          <w:szCs w:val="24"/>
          <w:highlight w:val="none"/>
        </w:rPr>
        <w:t xml:space="preserve">电子签章</w:t>
      </w:r>
      <w:r>
        <w:rPr>
          <w:rStyle w:val="1312"/>
          <w:rFonts w:hint="eastAsia" w:ascii="仿宋" w:hAnsi="仿宋" w:eastAsia="仿宋" w:cs="仿宋"/>
          <w:sz w:val="24"/>
          <w:highlight w:val="none"/>
        </w:rPr>
        <w:t xml:space="preserve">）：</w:t>
      </w:r>
      <w:r/>
    </w:p>
    <w:p>
      <w:pPr>
        <w:pStyle w:val="1270"/>
        <w:ind w:firstLine="456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法定代表人（签字或盖章）：</w:t>
      </w:r>
      <w:r/>
    </w:p>
    <w:p>
      <w:pPr>
        <w:pStyle w:val="1270"/>
        <w:ind w:firstLine="456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受托人（签字或盖章）：</w:t>
      </w:r>
      <w:r/>
    </w:p>
    <w:p>
      <w:pPr>
        <w:pStyle w:val="1270"/>
        <w:ind w:firstLine="456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日期：</w:t>
      </w:r>
      <w:r/>
    </w:p>
    <w:p>
      <w:pPr>
        <w:pStyle w:val="1270"/>
        <w:jc w:val="center"/>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jc w:val="center"/>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(受托人身份证复印件附后)</w:t>
      </w:r>
      <w:r/>
    </w:p>
    <w:p>
      <w:pPr>
        <w:pStyle w:val="1270"/>
        <w:spacing w:line="360" w:lineRule="auto"/>
        <w:widowControl w:val="off"/>
        <w:rPr>
          <w:rStyle w:val="1312"/>
          <w:rFonts w:ascii="仿宋" w:hAnsi="仿宋" w:eastAsia="仿宋" w:cs="仿宋"/>
          <w:b/>
          <w:bCs/>
          <w:sz w:val="24"/>
          <w:highlight w:val="none"/>
        </w:rPr>
      </w:pPr>
      <w:r>
        <w:rPr>
          <w:rFonts w:ascii="仿宋" w:hAnsi="仿宋" w:eastAsia="仿宋" w:cs="仿宋"/>
          <w:b/>
          <w:bCs/>
          <w:sz w:val="24"/>
          <w:highlight w:val="none"/>
        </w:rPr>
      </w:r>
      <w:r/>
    </w:p>
    <w:p>
      <w:pPr>
        <w:pStyle w:val="1270"/>
        <w:jc w:val="center"/>
        <w:spacing w:line="360" w:lineRule="auto"/>
        <w:widowControl w:val="off"/>
        <w:rPr>
          <w:rStyle w:val="1312"/>
          <w:rFonts w:ascii="仿宋" w:hAnsi="仿宋" w:eastAsia="仿宋" w:cs="仿宋"/>
          <w:sz w:val="28"/>
          <w:highlight w:val="none"/>
        </w:rPr>
      </w:pPr>
      <w:r>
        <w:rPr>
          <w:rFonts w:ascii="仿宋" w:hAnsi="仿宋" w:eastAsia="仿宋" w:cs="仿宋"/>
          <w:sz w:val="28"/>
          <w:highlight w:val="none"/>
        </w:rPr>
      </w:r>
      <w:r/>
    </w:p>
    <w:p>
      <w:pPr>
        <w:pStyle w:val="1279"/>
        <w:jc w:val="center"/>
        <w:keepLines w:val="0"/>
        <w:keepNext w:val="0"/>
        <w:widowControl w:val="off"/>
        <w:rPr>
          <w:rStyle w:val="1312"/>
          <w:rFonts w:ascii="仿宋" w:hAnsi="仿宋" w:eastAsia="仿宋" w:cs="仿宋"/>
          <w:sz w:val="28"/>
          <w:highlight w:val="none"/>
        </w:rPr>
        <w:outlineLvl w:val="9"/>
      </w:pPr>
      <w:r>
        <w:rPr>
          <w:rFonts w:ascii="仿宋" w:hAnsi="仿宋" w:eastAsia="仿宋" w:cs="仿宋"/>
          <w:sz w:val="28"/>
          <w:highlight w:val="none"/>
        </w:rPr>
      </w:r>
      <w:r/>
    </w:p>
    <w:p>
      <w:pPr>
        <w:pStyle w:val="1279"/>
        <w:jc w:val="center"/>
        <w:keepLines w:val="0"/>
        <w:keepNext w:val="0"/>
        <w:widowControl w:val="off"/>
        <w:rPr>
          <w:rStyle w:val="1312"/>
          <w:rFonts w:ascii="仿宋" w:hAnsi="仿宋" w:eastAsia="仿宋" w:cs="仿宋"/>
          <w:sz w:val="28"/>
          <w:highlight w:val="none"/>
        </w:rPr>
      </w:pPr>
      <w:r>
        <w:rPr>
          <w:rStyle w:val="1312"/>
          <w:rFonts w:hint="eastAsia" w:ascii="仿宋" w:hAnsi="仿宋" w:eastAsia="仿宋" w:cs="仿宋"/>
          <w:sz w:val="28"/>
          <w:highlight w:val="none"/>
        </w:rPr>
        <w:br w:type="page" w:clear="all"/>
      </w:r>
      <w:bookmarkStart w:id="21" w:name="_Toc32003"/>
      <w:r>
        <w:rPr>
          <w:rStyle w:val="1312"/>
          <w:rFonts w:hint="eastAsia" w:ascii="仿宋" w:hAnsi="仿宋" w:eastAsia="仿宋" w:cs="仿宋"/>
          <w:sz w:val="28"/>
          <w:highlight w:val="none"/>
        </w:rPr>
        <w:t xml:space="preserve">10、中小企业声明函</w:t>
      </w:r>
      <w:bookmarkEnd w:id="21"/>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项目名称：巡特警支队训练场地整治项目</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项目编号：</w:t>
      </w:r>
      <w:r>
        <w:rPr>
          <w:rStyle w:val="1312"/>
          <w:rFonts w:hint="eastAsia" w:ascii="仿宋" w:hAnsi="仿宋" w:eastAsia="仿宋" w:cs="仿宋"/>
          <w:sz w:val="24"/>
          <w:szCs w:val="24"/>
          <w:highlight w:val="none"/>
        </w:rPr>
        <w:t xml:space="preserve"> </w:t>
      </w:r>
      <w:r/>
    </w:p>
    <w:p>
      <w:pPr>
        <w:pStyle w:val="1270"/>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本公司郑重声明，根据《政府采购促进中小企业发展管理办法》（财库﹝2020﹞46号）的规定，本公司参加</w:t>
      </w:r>
      <w:r>
        <w:rPr>
          <w:rFonts w:hint="eastAsia" w:ascii="仿宋" w:hAnsi="仿宋" w:eastAsia="仿宋" w:cs="仿宋"/>
          <w:sz w:val="24"/>
          <w:szCs w:val="24"/>
          <w:highlight w:val="none"/>
          <w:u w:val="single"/>
        </w:rPr>
        <w:t xml:space="preserve">（单位名称）</w:t>
      </w:r>
      <w:r>
        <w:rPr>
          <w:rFonts w:hint="eastAsia" w:ascii="仿宋" w:hAnsi="仿宋" w:eastAsia="仿宋" w:cs="仿宋"/>
          <w:sz w:val="24"/>
          <w:szCs w:val="24"/>
          <w:highlight w:val="none"/>
        </w:rPr>
        <w:t xml:space="preserve">的</w:t>
      </w:r>
      <w:r>
        <w:rPr>
          <w:rFonts w:hint="eastAsia" w:ascii="仿宋" w:hAnsi="仿宋" w:eastAsia="仿宋" w:cs="仿宋"/>
          <w:sz w:val="24"/>
          <w:szCs w:val="24"/>
          <w:highlight w:val="none"/>
          <w:u w:val="single"/>
        </w:rPr>
        <w:t xml:space="preserve">（项目名称）</w:t>
      </w:r>
      <w:r>
        <w:rPr>
          <w:rFonts w:hint="eastAsia" w:ascii="仿宋" w:hAnsi="仿宋" w:eastAsia="仿宋" w:cs="仿宋"/>
          <w:sz w:val="24"/>
          <w:szCs w:val="24"/>
          <w:highlight w:val="none"/>
        </w:rPr>
        <w:t xml:space="preserve">采购活动，工程全部由符合政策要求的中小企业承接。相关企业的具体情况如下：</w:t>
      </w:r>
      <w:r/>
    </w:p>
    <w:p>
      <w:pPr>
        <w:pStyle w:val="1270"/>
        <w:ind w:firstLine="480"/>
        <w:spacing w:line="360" w:lineRule="auto"/>
        <w:widowControl w:val="off"/>
        <w:rPr>
          <w:rFonts w:ascii="仿宋" w:hAnsi="仿宋" w:eastAsia="仿宋" w:cs="仿宋"/>
          <w:spacing w:val="6"/>
          <w:sz w:val="24"/>
          <w:szCs w:val="24"/>
          <w:highlight w:val="none"/>
        </w:rPr>
      </w:pPr>
      <w:r>
        <w:rPr>
          <w:rFonts w:hint="eastAsia" w:ascii="仿宋" w:hAnsi="仿宋" w:eastAsia="仿宋" w:cs="仿宋"/>
          <w:sz w:val="24"/>
          <w:szCs w:val="24"/>
          <w:highlight w:val="none"/>
          <w:u w:val="single"/>
        </w:rPr>
        <w:t xml:space="preserve">（标的名称）</w:t>
      </w:r>
      <w:r>
        <w:rPr>
          <w:rFonts w:hint="eastAsia" w:ascii="仿宋" w:hAnsi="仿宋" w:eastAsia="仿宋" w:cs="仿宋"/>
          <w:sz w:val="24"/>
          <w:szCs w:val="24"/>
          <w:highlight w:val="none"/>
        </w:rPr>
        <w:t xml:space="preserve">，属于</w:t>
      </w:r>
      <w:r>
        <w:rPr>
          <w:rFonts w:hint="eastAsia" w:ascii="仿宋" w:hAnsi="仿宋" w:eastAsia="仿宋" w:cs="仿宋"/>
          <w:sz w:val="24"/>
          <w:szCs w:val="24"/>
          <w:highlight w:val="none"/>
          <w:u w:val="single"/>
        </w:rPr>
        <w:t xml:space="preserve">（</w:t>
      </w:r>
      <w:bookmarkStart w:id="22" w:name="_Hlk105228467"/>
      <w:r>
        <w:rPr>
          <w:rFonts w:hint="eastAsia" w:ascii="仿宋" w:hAnsi="仿宋" w:eastAsia="仿宋" w:cs="仿宋"/>
          <w:sz w:val="24"/>
          <w:szCs w:val="24"/>
          <w:highlight w:val="none"/>
          <w:u w:val="single"/>
        </w:rPr>
        <w:t xml:space="preserve">采购文件中明确的所属行业</w:t>
      </w:r>
      <w:bookmarkEnd w:id="22"/>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 承建（承接）企业为</w:t>
      </w:r>
      <w:r>
        <w:rPr>
          <w:rFonts w:hint="eastAsia" w:ascii="仿宋" w:hAnsi="仿宋" w:eastAsia="仿宋" w:cs="仿宋"/>
          <w:sz w:val="24"/>
          <w:szCs w:val="24"/>
          <w:highlight w:val="none"/>
          <w:u w:val="single"/>
        </w:rPr>
        <w:t xml:space="preserve">（企业名称）</w:t>
      </w:r>
      <w:r>
        <w:rPr>
          <w:rFonts w:hint="eastAsia" w:ascii="仿宋" w:hAnsi="仿宋" w:eastAsia="仿宋" w:cs="仿宋"/>
          <w:sz w:val="24"/>
          <w:szCs w:val="24"/>
          <w:highlight w:val="none"/>
        </w:rPr>
        <w:t xml:space="preserve">，从业人员</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人，营业收入为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万元，资产总额为</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万元，属于</w:t>
      </w:r>
      <w:r>
        <w:rPr>
          <w:rFonts w:hint="eastAsia" w:ascii="仿宋" w:hAnsi="仿宋" w:eastAsia="仿宋" w:cs="仿宋"/>
          <w:sz w:val="24"/>
          <w:szCs w:val="24"/>
          <w:highlight w:val="none"/>
          <w:u w:val="single"/>
        </w:rPr>
        <w:t xml:space="preserve">（</w:t>
      </w:r>
      <w:r>
        <w:rPr>
          <w:rFonts w:ascii="Wingdings 2" w:hAnsi="Wingdings 2" w:eastAsia="Wingdings 2" w:cs="Wingdings 2"/>
          <w:sz w:val="24"/>
          <w:szCs w:val="24"/>
          <w:highlight w:val="none"/>
          <w:u w:val="single"/>
        </w:rPr>
        <w:t xml:space="preserve">£</w:t>
      </w:r>
      <w:r>
        <w:rPr>
          <w:rFonts w:hint="eastAsia" w:ascii="仿宋" w:hAnsi="仿宋" w:eastAsia="仿宋" w:cs="仿宋"/>
          <w:sz w:val="24"/>
          <w:szCs w:val="24"/>
          <w:highlight w:val="none"/>
          <w:u w:val="single"/>
        </w:rPr>
        <w:t xml:space="preserve">中型企业、</w:t>
      </w:r>
      <w:r>
        <w:rPr>
          <w:rFonts w:ascii="Wingdings 2" w:hAnsi="Wingdings 2" w:eastAsia="Wingdings 2" w:cs="Wingdings 2"/>
          <w:sz w:val="24"/>
          <w:szCs w:val="24"/>
          <w:highlight w:val="none"/>
          <w:u w:val="single"/>
        </w:rPr>
        <w:t xml:space="preserve">£</w:t>
      </w:r>
      <w:r>
        <w:rPr>
          <w:rFonts w:hint="eastAsia" w:ascii="仿宋" w:hAnsi="仿宋" w:eastAsia="仿宋" w:cs="仿宋"/>
          <w:sz w:val="24"/>
          <w:szCs w:val="24"/>
          <w:highlight w:val="none"/>
          <w:u w:val="single"/>
        </w:rPr>
        <w:t xml:space="preserve">小型企业、</w:t>
      </w:r>
      <w:r>
        <w:rPr>
          <w:rFonts w:ascii="Wingdings 2" w:hAnsi="Wingdings 2" w:eastAsia="Wingdings 2" w:cs="Wingdings 2"/>
          <w:sz w:val="24"/>
          <w:szCs w:val="24"/>
          <w:highlight w:val="none"/>
          <w:u w:val="single"/>
        </w:rPr>
        <w:t xml:space="preserve">£</w:t>
      </w:r>
      <w:r>
        <w:rPr>
          <w:rFonts w:hint="eastAsia" w:ascii="仿宋" w:hAnsi="仿宋" w:eastAsia="仿宋" w:cs="仿宋"/>
          <w:sz w:val="24"/>
          <w:szCs w:val="24"/>
          <w:highlight w:val="none"/>
          <w:u w:val="single"/>
        </w:rPr>
        <w:t xml:space="preserve">微型企业</w:t>
      </w:r>
      <w:r>
        <w:rPr>
          <w:rFonts w:hint="eastAsia" w:ascii="仿宋" w:hAnsi="仿宋" w:eastAsia="仿宋" w:cs="仿宋"/>
          <w:b/>
          <w:sz w:val="24"/>
          <w:szCs w:val="24"/>
          <w:highlight w:val="none"/>
          <w:u w:val="single"/>
        </w:rPr>
        <w:t xml:space="preserve">，请勾选！</w:t>
      </w:r>
      <w:r>
        <w:rPr>
          <w:rFonts w:hint="eastAsia" w:ascii="仿宋" w:hAnsi="仿宋" w:eastAsia="仿宋" w:cs="仿宋"/>
          <w:sz w:val="24"/>
          <w:szCs w:val="24"/>
          <w:highlight w:val="none"/>
          <w:u w:val="single"/>
        </w:rPr>
        <w:t xml:space="preserve">）</w:t>
      </w:r>
      <w:r>
        <w:rPr>
          <w:rFonts w:hint="eastAsia" w:ascii="仿宋" w:hAnsi="仿宋" w:eastAsia="仿宋" w:cs="仿宋"/>
          <w:sz w:val="24"/>
          <w:szCs w:val="24"/>
          <w:highlight w:val="none"/>
        </w:rPr>
        <w:t xml:space="preserve">；</w:t>
      </w:r>
      <w:r/>
    </w:p>
    <w:p>
      <w:pPr>
        <w:pStyle w:val="1270"/>
        <w:ind w:firstLine="482"/>
        <w:spacing w:line="360" w:lineRule="auto"/>
        <w:widowControl w:val="off"/>
        <w:rPr>
          <w:rFonts w:ascii="仿宋" w:hAnsi="仿宋" w:eastAsia="仿宋" w:cs="仿宋"/>
          <w:b/>
          <w:spacing w:val="6"/>
          <w:sz w:val="24"/>
          <w:szCs w:val="24"/>
          <w:highlight w:val="none"/>
        </w:rPr>
      </w:pPr>
      <w:r>
        <w:rPr>
          <w:rFonts w:hint="eastAsia" w:ascii="仿宋" w:hAnsi="仿宋" w:eastAsia="仿宋" w:cs="仿宋"/>
          <w:b/>
          <w:sz w:val="24"/>
          <w:szCs w:val="24"/>
          <w:highlight w:val="none"/>
        </w:rPr>
        <w:t xml:space="preserve">以上企业，不属于大企业的分支机构，不存在控股股东为大企业的情形，也不存在与大企业的负责人为同一人的情形。</w:t>
      </w:r>
      <w:r/>
    </w:p>
    <w:p>
      <w:pPr>
        <w:pStyle w:val="1270"/>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注：本项目采购属于</w:t>
      </w:r>
      <w:r>
        <w:rPr>
          <w:rFonts w:hint="eastAsia" w:ascii="仿宋" w:hAnsi="仿宋" w:eastAsia="仿宋" w:cs="仿宋"/>
          <w:sz w:val="24"/>
          <w:szCs w:val="24"/>
          <w:highlight w:val="none"/>
          <w:u w:val="single"/>
        </w:rPr>
        <w:t xml:space="preserve"> 建筑业 </w:t>
      </w:r>
      <w:r>
        <w:rPr>
          <w:rFonts w:hint="eastAsia" w:ascii="仿宋" w:hAnsi="仿宋" w:eastAsia="仿宋" w:cs="仿宋"/>
          <w:sz w:val="24"/>
          <w:szCs w:val="24"/>
          <w:highlight w:val="none"/>
        </w:rPr>
        <w:t xml:space="preserve">。</w:t>
      </w:r>
      <w:r/>
    </w:p>
    <w:p>
      <w:pPr>
        <w:pStyle w:val="1270"/>
        <w:ind w:firstLine="480"/>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本企业对上述声明内容的真实性负责。如有虚假，将依法承担相应责任。</w:t>
      </w:r>
      <w:r/>
    </w:p>
    <w:p>
      <w:pPr>
        <w:pStyle w:val="1270"/>
        <w:ind w:firstLine="482"/>
        <w:jc w:val="left"/>
        <w:spacing w:line="360" w:lineRule="auto"/>
        <w:widowControl w:val="off"/>
        <w:rPr>
          <w:rFonts w:ascii="仿宋" w:hAnsi="仿宋" w:eastAsia="仿宋" w:cs="仿宋"/>
          <w:sz w:val="24"/>
          <w:szCs w:val="24"/>
          <w:highlight w:val="none"/>
        </w:rPr>
      </w:pPr>
      <w:r>
        <w:rPr>
          <w:rFonts w:hint="eastAsia" w:ascii="仿宋" w:hAnsi="仿宋" w:eastAsia="仿宋" w:cs="仿宋"/>
          <w:b/>
          <w:sz w:val="24"/>
          <w:szCs w:val="24"/>
          <w:highlight w:val="none"/>
        </w:rPr>
        <w:t xml:space="preserve">备注：从业人员、营业收入、资产总额填报上一年度数据，无上一年度数据的新成立企业可不填报</w:t>
      </w:r>
      <w:r>
        <w:rPr>
          <w:rFonts w:hint="eastAsia" w:ascii="仿宋" w:hAnsi="仿宋" w:eastAsia="仿宋" w:cs="仿宋"/>
          <w:sz w:val="24"/>
          <w:szCs w:val="24"/>
          <w:highlight w:val="none"/>
        </w:rPr>
        <w:t xml:space="preserve">。</w:t>
      </w:r>
      <w:r/>
    </w:p>
    <w:p>
      <w:pPr>
        <w:pStyle w:val="1270"/>
        <w:jc w:val="left"/>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jc w:val="right"/>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ind w:firstLine="312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供应商：（</w:t>
      </w:r>
      <w:r>
        <w:rPr>
          <w:rStyle w:val="1312"/>
          <w:rFonts w:hint="eastAsia" w:ascii="仿宋" w:hAnsi="仿宋" w:eastAsia="仿宋" w:cs="仿宋"/>
          <w:sz w:val="24"/>
          <w:szCs w:val="24"/>
          <w:highlight w:val="none"/>
        </w:rPr>
        <w:t xml:space="preserve">电子签章</w:t>
      </w:r>
      <w:r>
        <w:rPr>
          <w:rStyle w:val="1312"/>
          <w:rFonts w:hint="eastAsia" w:ascii="仿宋" w:hAnsi="仿宋" w:eastAsia="仿宋" w:cs="仿宋"/>
          <w:sz w:val="24"/>
          <w:highlight w:val="none"/>
        </w:rPr>
        <w:t xml:space="preserve">）</w:t>
      </w:r>
      <w:r/>
    </w:p>
    <w:p>
      <w:pPr>
        <w:pStyle w:val="1270"/>
        <w:ind w:firstLine="48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w:t>
      </w:r>
      <w:r>
        <w:rPr>
          <w:rFonts w:hint="eastAsia" w:ascii="仿宋" w:hAnsi="仿宋" w:eastAsia="仿宋" w:cs="仿宋"/>
          <w:sz w:val="24"/>
          <w:szCs w:val="24"/>
          <w:highlight w:val="none"/>
        </w:rPr>
        <w:t xml:space="preserve">法定代表人或授权代表</w:t>
      </w:r>
      <w:r>
        <w:rPr>
          <w:rStyle w:val="1312"/>
          <w:rFonts w:hint="eastAsia" w:ascii="仿宋" w:hAnsi="仿宋" w:eastAsia="仿宋" w:cs="仿宋"/>
          <w:sz w:val="24"/>
          <w:highlight w:val="none"/>
        </w:rPr>
        <w:t xml:space="preserve">：（签字或盖章）  </w:t>
      </w:r>
      <w:r/>
    </w:p>
    <w:p>
      <w:pPr>
        <w:pStyle w:val="1270"/>
        <w:ind w:firstLine="360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日期：  </w:t>
      </w:r>
      <w:r/>
    </w:p>
    <w:p>
      <w:pPr>
        <w:pStyle w:val="1270"/>
        <w:jc w:val="center"/>
        <w:spacing w:line="360" w:lineRule="auto"/>
        <w:widowControl w:val="off"/>
        <w:rPr>
          <w:rFonts w:ascii="仿宋" w:hAnsi="仿宋" w:eastAsia="仿宋" w:cs="仿宋"/>
          <w:highlight w:val="none"/>
        </w:rPr>
        <w:sectPr>
          <w:headerReference w:type="default" r:id="rId13"/>
          <w:footerReference w:type="default" r:id="rId20"/>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highlight w:val="none"/>
        </w:rPr>
      </w:r>
      <w:r/>
    </w:p>
    <w:p>
      <w:pPr>
        <w:jc w:val="center"/>
        <w:spacing w:line="360" w:lineRule="auto"/>
        <w:rPr>
          <w:rStyle w:val="1312"/>
          <w:rFonts w:ascii="仿宋" w:hAnsi="仿宋" w:eastAsia="仿宋" w:cs="仿宋"/>
          <w:b/>
          <w:bCs/>
          <w:sz w:val="28"/>
          <w:szCs w:val="32"/>
          <w:highlight w:val="none"/>
        </w:rPr>
      </w:pPr>
      <w:r/>
      <w:bookmarkStart w:id="23" w:name="OLE_LINK41"/>
      <w:r/>
      <w:bookmarkStart w:id="24" w:name="OLE_LINK11"/>
      <w:r/>
      <w:bookmarkStart w:id="25" w:name="OLE_LINK40"/>
      <w:r/>
      <w:bookmarkStart w:id="26" w:name="OLE_LINK12"/>
      <w:r>
        <w:rPr>
          <w:rStyle w:val="1312"/>
          <w:rFonts w:hint="eastAsia" w:ascii="仿宋" w:hAnsi="仿宋" w:eastAsia="仿宋" w:cs="仿宋"/>
          <w:b/>
          <w:bCs/>
          <w:sz w:val="28"/>
          <w:szCs w:val="32"/>
          <w:highlight w:val="none"/>
        </w:rPr>
        <w:t xml:space="preserve">“中小企业声明函”查询渠道用微信搜索“中小企业规模类型自测小程序”。</w:t>
      </w:r>
      <w:bookmarkEnd w:id="23"/>
      <w:r/>
      <w:bookmarkEnd w:id="24"/>
      <w:r/>
      <w:bookmarkEnd w:id="25"/>
      <w:r/>
      <w:r/>
    </w:p>
    <w:p>
      <w:pPr>
        <w:pStyle w:val="1274"/>
        <w:jc w:val="center"/>
        <w:rPr>
          <w:rFonts w:ascii="仿宋" w:hAnsi="仿宋" w:eastAsia="仿宋" w:cs="仿宋"/>
          <w:highlight w:val="none"/>
        </w:rPr>
      </w:pPr>
      <w:r>
        <w:rPr>
          <w:rFonts w:hint="eastAsia" w:ascii="仿宋" w:hAnsi="仿宋" w:eastAsia="仿宋" w:cs="仿宋"/>
          <w:szCs w:val="28"/>
          <w:highlight w:val="none"/>
        </w:rPr>
        <mc:AlternateContent>
          <mc:Choice Requires="wpg">
            <w:drawing>
              <wp:inline xmlns:wp="http://schemas.openxmlformats.org/drawingml/2006/wordprocessingDrawing" distT="0" distB="0" distL="0" distR="0">
                <wp:extent cx="1846580" cy="3787140"/>
                <wp:effectExtent l="0" t="0" r="1270" b="3810"/>
                <wp:docPr id="1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2"/>
                        <pic:cNvPicPr>
                          <a:picLocks noChangeAspect="1"/>
                        </pic:cNvPicPr>
                        <pic:nvPr/>
                      </pic:nvPicPr>
                      <pic:blipFill>
                        <a:blip r:embed="rId29"/>
                        <a:stretch/>
                      </pic:blipFill>
                      <pic:spPr bwMode="auto">
                        <a:xfrm>
                          <a:off x="0" y="0"/>
                          <a:ext cx="1846580" cy="378714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145.4pt;height:298.2pt;mso-wrap-distance-left:0.0pt;mso-wrap-distance-top:0.0pt;mso-wrap-distance-right:0.0pt;mso-wrap-distance-bottom:0.0pt;" stroked="f">
                <v:path textboxrect="0,0,0,0"/>
                <v:imagedata r:id="rId29" o:title=""/>
              </v:shape>
            </w:pict>
          </mc:Fallback>
        </mc:AlternateContent>
      </w:r>
      <w:bookmarkEnd w:id="26"/>
      <w:r/>
      <w:r/>
    </w:p>
    <w:p>
      <w:pPr>
        <w:pStyle w:val="1301"/>
        <w:spacing w:before="0" w:beforeAutospacing="0" w:after="0" w:afterAutospacing="0" w:line="360" w:lineRule="auto"/>
        <w:widowControl w:val="off"/>
        <w:rPr>
          <w:rFonts w:ascii="仿宋" w:hAnsi="仿宋" w:eastAsia="仿宋" w:cs="仿宋"/>
          <w:sz w:val="30"/>
          <w:szCs w:val="30"/>
          <w:highlight w:val="none"/>
        </w:rPr>
        <w:sectPr>
          <w:headerReference w:type="default" r:id="rId14"/>
          <w:footerReference w:type="default" r:id="rId21"/>
          <w:footerReference w:type="even" r:id="rId22"/>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sz w:val="30"/>
          <w:szCs w:val="30"/>
          <w:highlight w:val="none"/>
        </w:rPr>
      </w:r>
      <w:r/>
    </w:p>
    <w:p>
      <w:pPr>
        <w:pStyle w:val="1270"/>
        <w:jc w:val="center"/>
        <w:spacing w:line="360" w:lineRule="auto"/>
        <w:widowControl w:val="off"/>
        <w:rPr>
          <w:rStyle w:val="1312"/>
          <w:rFonts w:ascii="仿宋" w:hAnsi="仿宋" w:eastAsia="仿宋" w:cs="仿宋"/>
          <w:sz w:val="28"/>
          <w:highlight w:val="none"/>
        </w:rPr>
      </w:pPr>
      <w:r>
        <w:rPr>
          <w:rStyle w:val="1312"/>
          <w:rFonts w:hint="eastAsia" w:ascii="仿宋" w:hAnsi="仿宋" w:eastAsia="仿宋" w:cs="仿宋"/>
          <w:b/>
          <w:bCs/>
          <w:sz w:val="28"/>
          <w:szCs w:val="32"/>
          <w:highlight w:val="none"/>
        </w:rPr>
        <w:t xml:space="preserve">11、残疾人福利性单位声明函</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项目名称：巡特警支队训练场地整治项目</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项目编号：</w:t>
      </w:r>
      <w:r>
        <w:rPr>
          <w:rStyle w:val="1312"/>
          <w:rFonts w:hint="eastAsia" w:ascii="仿宋" w:hAnsi="仿宋" w:eastAsia="仿宋" w:cs="仿宋"/>
          <w:sz w:val="24"/>
          <w:szCs w:val="24"/>
          <w:highlight w:val="none"/>
        </w:rPr>
        <w:t xml:space="preserve"> </w:t>
      </w:r>
      <w:r/>
    </w:p>
    <w:p>
      <w:pPr>
        <w:pStyle w:val="1270"/>
        <w:ind w:firstLine="504"/>
        <w:jc w:val="left"/>
        <w:spacing w:line="360" w:lineRule="auto"/>
        <w:widowControl w:val="off"/>
        <w:rPr>
          <w:rStyle w:val="1312"/>
          <w:rFonts w:ascii="仿宋" w:hAnsi="仿宋" w:eastAsia="仿宋" w:cs="仿宋"/>
          <w:spacing w:val="6"/>
          <w:sz w:val="24"/>
          <w:highlight w:val="none"/>
        </w:rPr>
      </w:pPr>
      <w:r>
        <w:rPr>
          <w:rStyle w:val="1312"/>
          <w:rFonts w:hint="eastAsia" w:ascii="仿宋" w:hAnsi="仿宋" w:eastAsia="仿宋" w:cs="仿宋"/>
          <w:spacing w:val="6"/>
          <w:sz w:val="24"/>
          <w:highlight w:val="none"/>
        </w:rPr>
        <w:t xml:space="preserve">本单位郑重声明，根据《财政部民政部中国残疾人联合会关于促进残疾人就业政府采购政策的通知》（财库</w:t>
      </w:r>
      <w:r>
        <w:rPr>
          <w:rStyle w:val="1312"/>
          <w:rFonts w:hint="eastAsia" w:ascii="仿宋" w:hAnsi="仿宋" w:eastAsia="仿宋" w:cs="仿宋"/>
          <w:sz w:val="24"/>
          <w:highlight w:val="none"/>
        </w:rPr>
        <w:t xml:space="preserve">〔2017〕141</w:t>
      </w:r>
      <w:r>
        <w:rPr>
          <w:rStyle w:val="1312"/>
          <w:rFonts w:hint="eastAsia" w:ascii="仿宋" w:hAnsi="仿宋" w:eastAsia="仿宋" w:cs="仿宋"/>
          <w:spacing w:val="6"/>
          <w:sz w:val="24"/>
          <w:highlight w:val="none"/>
        </w:rPr>
        <w:t xml:space="preserve">号）的规定，本单位为符合条件的残疾人福利性单位，且本单位参加</w:t>
      </w:r>
      <w:r>
        <w:rPr>
          <w:rStyle w:val="1312"/>
          <w:rFonts w:hint="eastAsia" w:ascii="仿宋" w:hAnsi="仿宋" w:eastAsia="仿宋" w:cs="仿宋"/>
          <w:sz w:val="24"/>
          <w:highlight w:val="none"/>
        </w:rPr>
        <w:t xml:space="preserve">______</w:t>
      </w:r>
      <w:r>
        <w:rPr>
          <w:rStyle w:val="1312"/>
          <w:rFonts w:hint="eastAsia" w:ascii="仿宋" w:hAnsi="仿宋" w:eastAsia="仿宋" w:cs="仿宋"/>
          <w:spacing w:val="6"/>
          <w:sz w:val="24"/>
          <w:highlight w:val="none"/>
        </w:rPr>
        <w:t xml:space="preserve">单位的</w:t>
      </w:r>
      <w:r>
        <w:rPr>
          <w:rStyle w:val="1312"/>
          <w:rFonts w:hint="eastAsia" w:ascii="仿宋" w:hAnsi="仿宋" w:eastAsia="仿宋" w:cs="仿宋"/>
          <w:sz w:val="24"/>
          <w:highlight w:val="none"/>
        </w:rPr>
        <w:t xml:space="preserve">______</w:t>
      </w:r>
      <w:r>
        <w:rPr>
          <w:rStyle w:val="1312"/>
          <w:rFonts w:hint="eastAsia" w:ascii="仿宋" w:hAnsi="仿宋" w:eastAsia="仿宋" w:cs="仿宋"/>
          <w:spacing w:val="6"/>
          <w:sz w:val="24"/>
          <w:highlight w:val="none"/>
        </w:rPr>
        <w:t xml:space="preserve">项目采购活动提供本单位制造的货物（由本单位承担工程/提供服务），或者提供其他残疾人福利性单位制造的货物（不包括使用非残疾人福利性单位注册商标的货物）。</w:t>
      </w:r>
      <w:r/>
    </w:p>
    <w:p>
      <w:pPr>
        <w:pStyle w:val="1270"/>
        <w:ind w:firstLine="504"/>
        <w:jc w:val="left"/>
        <w:spacing w:line="360" w:lineRule="auto"/>
        <w:widowControl w:val="off"/>
        <w:rPr>
          <w:rStyle w:val="1312"/>
          <w:rFonts w:ascii="仿宋" w:hAnsi="仿宋" w:eastAsia="仿宋" w:cs="仿宋"/>
          <w:spacing w:val="6"/>
          <w:sz w:val="24"/>
          <w:highlight w:val="none"/>
        </w:rPr>
      </w:pPr>
      <w:r>
        <w:rPr>
          <w:rStyle w:val="1312"/>
          <w:rFonts w:hint="eastAsia" w:ascii="仿宋" w:hAnsi="仿宋" w:eastAsia="仿宋" w:cs="仿宋"/>
          <w:spacing w:val="6"/>
          <w:sz w:val="24"/>
          <w:highlight w:val="none"/>
        </w:rPr>
        <w:t xml:space="preserve">本单位对上述声明的真实性负责。如有虚假，将依法承担相应责任。</w:t>
      </w:r>
      <w:r/>
    </w:p>
    <w:p>
      <w:pPr>
        <w:pStyle w:val="1270"/>
        <w:ind w:firstLine="504"/>
        <w:jc w:val="left"/>
        <w:spacing w:line="360" w:lineRule="auto"/>
        <w:widowControl w:val="off"/>
        <w:rPr>
          <w:rStyle w:val="1312"/>
          <w:rFonts w:ascii="仿宋" w:hAnsi="仿宋" w:eastAsia="仿宋" w:cs="仿宋"/>
          <w:spacing w:val="6"/>
          <w:sz w:val="24"/>
          <w:highlight w:val="none"/>
        </w:rPr>
      </w:pPr>
      <w:r>
        <w:rPr>
          <w:rFonts w:ascii="仿宋" w:hAnsi="仿宋" w:eastAsia="仿宋" w:cs="仿宋"/>
          <w:spacing w:val="6"/>
          <w:sz w:val="24"/>
          <w:highlight w:val="none"/>
        </w:rPr>
      </w:r>
      <w:r/>
    </w:p>
    <w:p>
      <w:pPr>
        <w:pStyle w:val="1270"/>
        <w:ind w:firstLine="504"/>
        <w:jc w:val="left"/>
        <w:spacing w:line="360" w:lineRule="auto"/>
        <w:widowControl w:val="off"/>
        <w:rPr>
          <w:rStyle w:val="1312"/>
          <w:rFonts w:ascii="仿宋" w:hAnsi="仿宋" w:eastAsia="仿宋" w:cs="仿宋"/>
          <w:spacing w:val="6"/>
          <w:sz w:val="24"/>
          <w:highlight w:val="none"/>
        </w:rPr>
      </w:pPr>
      <w:r>
        <w:rPr>
          <w:rFonts w:ascii="仿宋" w:hAnsi="仿宋" w:eastAsia="仿宋" w:cs="仿宋"/>
          <w:spacing w:val="6"/>
          <w:sz w:val="24"/>
          <w:highlight w:val="none"/>
        </w:rPr>
      </w:r>
      <w:r/>
    </w:p>
    <w:p>
      <w:pPr>
        <w:pStyle w:val="1270"/>
        <w:ind w:firstLine="456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供应商：（</w:t>
      </w:r>
      <w:r>
        <w:rPr>
          <w:rStyle w:val="1312"/>
          <w:rFonts w:hint="eastAsia" w:ascii="仿宋" w:hAnsi="仿宋" w:eastAsia="仿宋" w:cs="仿宋"/>
          <w:sz w:val="24"/>
          <w:szCs w:val="24"/>
          <w:highlight w:val="none"/>
        </w:rPr>
        <w:t xml:space="preserve">电子签章</w:t>
      </w:r>
      <w:r>
        <w:rPr>
          <w:rStyle w:val="1312"/>
          <w:rFonts w:hint="eastAsia" w:ascii="仿宋" w:hAnsi="仿宋" w:eastAsia="仿宋" w:cs="仿宋"/>
          <w:sz w:val="24"/>
          <w:highlight w:val="none"/>
        </w:rPr>
        <w:t xml:space="preserve">）</w:t>
      </w:r>
      <w:r/>
    </w:p>
    <w:p>
      <w:pPr>
        <w:pStyle w:val="1270"/>
        <w:ind w:firstLine="48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w:t>
      </w:r>
      <w:r>
        <w:rPr>
          <w:rFonts w:hint="eastAsia" w:ascii="仿宋" w:hAnsi="仿宋" w:eastAsia="仿宋" w:cs="仿宋"/>
          <w:sz w:val="24"/>
          <w:szCs w:val="24"/>
          <w:highlight w:val="none"/>
        </w:rPr>
        <w:t xml:space="preserve">法定代表人或授权代表</w:t>
      </w:r>
      <w:r>
        <w:rPr>
          <w:rStyle w:val="1312"/>
          <w:rFonts w:hint="eastAsia" w:ascii="仿宋" w:hAnsi="仿宋" w:eastAsia="仿宋" w:cs="仿宋"/>
          <w:sz w:val="24"/>
          <w:highlight w:val="none"/>
        </w:rPr>
        <w:t xml:space="preserve">：（签字或盖章） </w:t>
      </w:r>
      <w:r/>
    </w:p>
    <w:p>
      <w:pPr>
        <w:pStyle w:val="1270"/>
        <w:ind w:firstLine="480"/>
        <w:jc w:val="left"/>
        <w:spacing w:line="360" w:lineRule="auto"/>
        <w:widowControl w:val="off"/>
        <w:rPr>
          <w:rFonts w:ascii="仿宋" w:hAnsi="仿宋" w:eastAsia="仿宋" w:cs="仿宋"/>
          <w:sz w:val="24"/>
          <w:highlight w:val="none"/>
        </w:rPr>
      </w:pPr>
      <w:r>
        <w:rPr>
          <w:rStyle w:val="1312"/>
          <w:rFonts w:hint="eastAsia" w:ascii="仿宋" w:hAnsi="仿宋" w:eastAsia="仿宋" w:cs="仿宋"/>
          <w:sz w:val="24"/>
          <w:highlight w:val="none"/>
        </w:rPr>
        <w:t xml:space="preserve">                                  日期：  </w:t>
      </w:r>
      <w:r/>
    </w:p>
    <w:p>
      <w:pPr>
        <w:pStyle w:val="1270"/>
        <w:jc w:val="center"/>
        <w:widowControl w:val="off"/>
        <w:rPr>
          <w:rStyle w:val="1312"/>
          <w:rFonts w:ascii="仿宋" w:hAnsi="仿宋" w:eastAsia="仿宋" w:cs="仿宋"/>
          <w:sz w:val="24"/>
          <w:szCs w:val="24"/>
          <w:highlight w:val="none"/>
        </w:rPr>
        <w:sectPr>
          <w:footnotePr/>
          <w:endnotePr/>
          <w:type w:val="nextPage"/>
          <w:pgSz w:w="11906" w:h="16838" w:orient="portrait"/>
          <w:pgMar w:top="1440" w:right="1080" w:bottom="1440" w:left="1080" w:header="851" w:footer="992" w:gutter="0"/>
          <w:cols w:num="1" w:sep="0" w:space="1701" w:equalWidth="1"/>
          <w:docGrid w:linePitch="360"/>
        </w:sectPr>
      </w:pPr>
      <w:r>
        <w:rPr>
          <w:rFonts w:ascii="仿宋" w:hAnsi="仿宋" w:eastAsia="仿宋" w:cs="仿宋"/>
          <w:sz w:val="24"/>
          <w:szCs w:val="24"/>
          <w:highlight w:val="none"/>
        </w:rPr>
      </w:r>
      <w:r/>
    </w:p>
    <w:p>
      <w:pPr>
        <w:pStyle w:val="1279"/>
        <w:jc w:val="center"/>
        <w:keepLines w:val="0"/>
        <w:keepNext w:val="0"/>
        <w:spacing w:before="0" w:after="0" w:line="360" w:lineRule="auto"/>
        <w:widowControl w:val="off"/>
        <w:rPr>
          <w:rStyle w:val="1312"/>
          <w:rFonts w:ascii="仿宋" w:hAnsi="仿宋" w:eastAsia="仿宋" w:cs="仿宋"/>
          <w:sz w:val="28"/>
          <w:highlight w:val="none"/>
        </w:rPr>
      </w:pPr>
      <w:r/>
      <w:bookmarkStart w:id="27" w:name="_Toc5919"/>
      <w:r>
        <w:rPr>
          <w:rStyle w:val="1312"/>
          <w:rFonts w:hint="eastAsia" w:ascii="仿宋" w:hAnsi="仿宋" w:eastAsia="仿宋" w:cs="仿宋"/>
          <w:sz w:val="28"/>
          <w:highlight w:val="none"/>
        </w:rPr>
        <w:t xml:space="preserve">12、供应商参加政府采购活动前三年内在经营活动中</w:t>
      </w:r>
      <w:bookmarkEnd w:id="27"/>
      <w:r/>
      <w:r/>
    </w:p>
    <w:p>
      <w:pPr>
        <w:pStyle w:val="1279"/>
        <w:jc w:val="center"/>
        <w:keepLines w:val="0"/>
        <w:keepNext w:val="0"/>
        <w:spacing w:before="0" w:after="0" w:line="360" w:lineRule="auto"/>
        <w:widowControl w:val="off"/>
        <w:rPr>
          <w:rStyle w:val="1312"/>
          <w:rFonts w:ascii="仿宋" w:hAnsi="仿宋" w:eastAsia="仿宋" w:cs="仿宋"/>
          <w:sz w:val="28"/>
          <w:highlight w:val="none"/>
        </w:rPr>
        <w:outlineLvl w:val="9"/>
      </w:pPr>
      <w:r/>
      <w:bookmarkStart w:id="28" w:name="_Toc16176"/>
      <w:r>
        <w:rPr>
          <w:rStyle w:val="1312"/>
          <w:rFonts w:hint="eastAsia" w:ascii="仿宋" w:hAnsi="仿宋" w:eastAsia="仿宋" w:cs="仿宋"/>
          <w:sz w:val="28"/>
          <w:highlight w:val="none"/>
        </w:rPr>
        <w:t xml:space="preserve">没有重大违法记录的书面声明</w:t>
      </w:r>
      <w:bookmarkEnd w:id="28"/>
      <w:r/>
      <w:r/>
    </w:p>
    <w:p>
      <w:pPr>
        <w:pStyle w:val="1270"/>
        <w:jc w:val="left"/>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ind w:firstLine="480"/>
        <w:jc w:val="left"/>
        <w:spacing w:line="48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我单位在参加</w:t>
      </w:r>
      <w:r>
        <w:rPr>
          <w:rStyle w:val="1312"/>
          <w:rFonts w:hint="eastAsia" w:ascii="仿宋" w:hAnsi="仿宋" w:eastAsia="仿宋" w:cs="仿宋"/>
          <w:sz w:val="24"/>
          <w:highlight w:val="none"/>
          <w:u w:val="single"/>
        </w:rPr>
        <w:t xml:space="preserve"> 巡特警支队训练场地整治项目 </w:t>
      </w:r>
      <w:r>
        <w:rPr>
          <w:rStyle w:val="1312"/>
          <w:rFonts w:hint="eastAsia" w:ascii="仿宋" w:hAnsi="仿宋" w:eastAsia="仿宋" w:cs="仿宋"/>
          <w:sz w:val="24"/>
          <w:highlight w:val="none"/>
        </w:rPr>
        <w:t xml:space="preserve">[项目编号：</w:t>
      </w:r>
      <w:r>
        <w:rPr>
          <w:rStyle w:val="1312"/>
          <w:rFonts w:hint="eastAsia" w:ascii="仿宋" w:hAnsi="仿宋" w:eastAsia="仿宋" w:cs="仿宋"/>
          <w:sz w:val="24"/>
          <w:highlight w:val="none"/>
          <w:lang w:val="en-US"/>
        </w:rPr>
        <w:t xml:space="preserve">  </w:t>
      </w:r>
      <w:r>
        <w:rPr>
          <w:rStyle w:val="1312"/>
          <w:rFonts w:hint="eastAsia" w:ascii="仿宋" w:hAnsi="仿宋" w:eastAsia="仿宋" w:cs="仿宋"/>
          <w:sz w:val="24"/>
          <w:highlight w:val="none"/>
        </w:rPr>
        <w:t xml:space="preserve">]政府采购活动前三年内在经营活动中没有重大违法记录。重大违法记录是指因违法经营受到刑事处罚或者责令停产停业、吊销许可证或者执照、较大数额罚款等行政处罚。</w:t>
      </w:r>
      <w:r/>
    </w:p>
    <w:p>
      <w:pPr>
        <w:pStyle w:val="1270"/>
        <w:ind w:firstLine="720"/>
        <w:jc w:val="left"/>
        <w:spacing w:line="48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我单位对上述声明的真实性负责。如有虚假，将依法承担相应责任。</w:t>
      </w:r>
      <w:r/>
    </w:p>
    <w:p>
      <w:pPr>
        <w:pStyle w:val="1270"/>
        <w:jc w:val="left"/>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jc w:val="left"/>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供应商（</w:t>
      </w:r>
      <w:r>
        <w:rPr>
          <w:rStyle w:val="1312"/>
          <w:rFonts w:hint="eastAsia" w:ascii="仿宋" w:hAnsi="仿宋" w:eastAsia="仿宋" w:cs="仿宋"/>
          <w:sz w:val="24"/>
          <w:szCs w:val="24"/>
          <w:highlight w:val="none"/>
        </w:rPr>
        <w:t xml:space="preserve">电子签章</w:t>
      </w:r>
      <w:r>
        <w:rPr>
          <w:rStyle w:val="1312"/>
          <w:rFonts w:hint="eastAsia" w:ascii="仿宋" w:hAnsi="仿宋" w:eastAsia="仿宋" w:cs="仿宋"/>
          <w:sz w:val="24"/>
          <w:highlight w:val="none"/>
        </w:rPr>
        <w:t xml:space="preserve">）：</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w:t>
      </w:r>
      <w:r>
        <w:rPr>
          <w:rFonts w:hint="eastAsia" w:ascii="仿宋" w:hAnsi="仿宋" w:eastAsia="仿宋" w:cs="仿宋"/>
          <w:sz w:val="24"/>
          <w:szCs w:val="24"/>
          <w:highlight w:val="none"/>
        </w:rPr>
        <w:t xml:space="preserve">法定代表人或授权代表</w:t>
      </w:r>
      <w:r>
        <w:rPr>
          <w:rStyle w:val="1312"/>
          <w:rFonts w:hint="eastAsia" w:ascii="仿宋" w:hAnsi="仿宋" w:eastAsia="仿宋" w:cs="仿宋"/>
          <w:sz w:val="24"/>
          <w:highlight w:val="none"/>
        </w:rPr>
        <w:t xml:space="preserve">（签字或盖章）：  </w:t>
      </w:r>
      <w:r/>
    </w:p>
    <w:p>
      <w:pPr>
        <w:pStyle w:val="1270"/>
        <w:jc w:val="left"/>
        <w:spacing w:line="360" w:lineRule="auto"/>
        <w:widowControl w:val="off"/>
        <w:rPr>
          <w:rFonts w:ascii="仿宋" w:hAnsi="仿宋" w:eastAsia="仿宋" w:cs="仿宋"/>
          <w:sz w:val="24"/>
          <w:highlight w:val="none"/>
        </w:rPr>
      </w:pPr>
      <w:r>
        <w:rPr>
          <w:rStyle w:val="1312"/>
          <w:rFonts w:hint="eastAsia" w:ascii="仿宋" w:hAnsi="仿宋" w:eastAsia="仿宋" w:cs="仿宋"/>
          <w:sz w:val="24"/>
          <w:highlight w:val="none"/>
        </w:rPr>
        <w:t xml:space="preserve">                           日期： </w:t>
      </w:r>
      <w:r/>
    </w:p>
    <w:p>
      <w:pPr>
        <w:pStyle w:val="1270"/>
        <w:jc w:val="left"/>
        <w:spacing w:line="360" w:lineRule="auto"/>
        <w:widowControl w:val="off"/>
        <w:rPr>
          <w:rStyle w:val="1312"/>
          <w:rFonts w:ascii="仿宋" w:hAnsi="仿宋" w:eastAsia="仿宋" w:cs="仿宋"/>
          <w:sz w:val="24"/>
          <w:highlight w:val="none"/>
        </w:rPr>
      </w:pPr>
      <w:r>
        <w:rPr>
          <w:rFonts w:ascii="仿宋" w:hAnsi="仿宋" w:eastAsia="仿宋" w:cs="仿宋"/>
          <w:sz w:val="24"/>
          <w:highlight w:val="none"/>
        </w:rPr>
      </w:r>
      <w:r/>
    </w:p>
    <w:p>
      <w:pPr>
        <w:pStyle w:val="1279"/>
        <w:jc w:val="center"/>
        <w:keepLines w:val="0"/>
        <w:keepNext w:val="0"/>
        <w:spacing w:before="0" w:after="0" w:line="360" w:lineRule="auto"/>
        <w:widowControl w:val="off"/>
        <w:rPr>
          <w:rStyle w:val="1312"/>
          <w:rFonts w:ascii="仿宋" w:hAnsi="仿宋" w:eastAsia="仿宋" w:cs="仿宋"/>
          <w:sz w:val="28"/>
          <w:highlight w:val="none"/>
        </w:rPr>
      </w:pPr>
      <w:r>
        <w:rPr>
          <w:rStyle w:val="1312"/>
          <w:rFonts w:hint="eastAsia" w:ascii="仿宋" w:hAnsi="仿宋" w:eastAsia="仿宋" w:cs="仿宋"/>
          <w:sz w:val="28"/>
          <w:szCs w:val="28"/>
          <w:highlight w:val="none"/>
        </w:rPr>
        <w:br w:type="page" w:clear="all"/>
      </w:r>
      <w:bookmarkStart w:id="29" w:name="_Toc3582"/>
      <w:r>
        <w:rPr>
          <w:rStyle w:val="1312"/>
          <w:rFonts w:hint="eastAsia" w:ascii="仿宋" w:hAnsi="仿宋" w:eastAsia="仿宋" w:cs="仿宋"/>
          <w:sz w:val="28"/>
          <w:highlight w:val="none"/>
        </w:rPr>
        <w:t xml:space="preserve">13、具备履行合同所必需的设备和专业技术能力的书面声明</w:t>
      </w:r>
      <w:bookmarkEnd w:id="29"/>
      <w:r/>
      <w:r/>
    </w:p>
    <w:p>
      <w:pPr>
        <w:pStyle w:val="1279"/>
        <w:jc w:val="center"/>
        <w:keepLines w:val="0"/>
        <w:keepNext w:val="0"/>
        <w:spacing w:before="0" w:after="0" w:line="360" w:lineRule="auto"/>
        <w:widowControl w:val="off"/>
        <w:rPr>
          <w:rStyle w:val="1312"/>
          <w:rFonts w:ascii="仿宋" w:hAnsi="仿宋" w:eastAsia="仿宋" w:cs="仿宋"/>
          <w:sz w:val="28"/>
          <w:szCs w:val="28"/>
          <w:highlight w:val="none"/>
        </w:rPr>
        <w:outlineLvl w:val="9"/>
      </w:pPr>
      <w:r/>
      <w:bookmarkStart w:id="30" w:name="_Toc3584"/>
      <w:r>
        <w:rPr>
          <w:rStyle w:val="1312"/>
          <w:rFonts w:hint="eastAsia" w:ascii="仿宋" w:hAnsi="仿宋" w:eastAsia="仿宋" w:cs="仿宋"/>
          <w:sz w:val="28"/>
          <w:highlight w:val="none"/>
        </w:rPr>
        <w:t xml:space="preserve">（附证明材料复印件）</w:t>
      </w:r>
      <w:bookmarkEnd w:id="30"/>
      <w:r/>
      <w:r/>
    </w:p>
    <w:p>
      <w:pPr>
        <w:pStyle w:val="127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项目名称：</w:t>
      </w:r>
      <w:r>
        <w:rPr>
          <w:rStyle w:val="1312"/>
          <w:rFonts w:hint="eastAsia" w:ascii="仿宋" w:hAnsi="仿宋" w:eastAsia="仿宋" w:cs="仿宋"/>
          <w:sz w:val="24"/>
          <w:szCs w:val="21"/>
          <w:highlight w:val="none"/>
        </w:rPr>
        <w:t xml:space="preserve">巡特警支队训练场地整治项目</w:t>
      </w:r>
      <w:r/>
    </w:p>
    <w:p>
      <w:pPr>
        <w:pStyle w:val="127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项目编号：</w:t>
      </w:r>
      <w:r>
        <w:rPr>
          <w:rStyle w:val="1312"/>
          <w:rFonts w:hint="eastAsia" w:ascii="仿宋" w:hAnsi="仿宋" w:eastAsia="仿宋" w:cs="仿宋"/>
          <w:sz w:val="24"/>
          <w:szCs w:val="24"/>
          <w:highlight w:val="none"/>
        </w:rPr>
        <w:t xml:space="preserve"> </w:t>
      </w:r>
      <w:r/>
    </w:p>
    <w:p>
      <w:pPr>
        <w:pStyle w:val="1270"/>
        <w:ind w:firstLine="480"/>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供应商郑重声明：供应商具备履行合同（项目名称</w:t>
      </w:r>
      <w:r>
        <w:rPr>
          <w:rStyle w:val="1312"/>
          <w:rFonts w:hint="eastAsia" w:ascii="仿宋" w:hAnsi="仿宋" w:eastAsia="仿宋" w:cs="仿宋"/>
          <w:sz w:val="24"/>
          <w:highlight w:val="none"/>
          <w:u w:val="single"/>
        </w:rPr>
        <w:t xml:space="preserve">：</w:t>
      </w:r>
      <w:r>
        <w:rPr>
          <w:rStyle w:val="1312"/>
          <w:rFonts w:hint="eastAsia" w:ascii="仿宋" w:hAnsi="仿宋" w:eastAsia="仿宋" w:cs="仿宋"/>
          <w:sz w:val="24"/>
          <w:szCs w:val="21"/>
          <w:highlight w:val="none"/>
          <w:u w:val="single"/>
        </w:rPr>
        <w:t xml:space="preserve">巡特警支队训练场地整治项目</w:t>
      </w:r>
      <w:r>
        <w:rPr>
          <w:rStyle w:val="1312"/>
          <w:rFonts w:hint="eastAsia" w:ascii="仿宋" w:hAnsi="仿宋" w:eastAsia="仿宋" w:cs="仿宋"/>
          <w:sz w:val="24"/>
          <w:highlight w:val="none"/>
        </w:rPr>
        <w:t xml:space="preserve">，项目编号：所必需的设备和专业技术能力，具体为：</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设备：</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1、                           （证明材料复印件附后）</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2、                           （证明材料复印件附后）</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3、                           （证明材料复印件附后）</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专业技术能力：</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1、                           （证明材料复印件附后）</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2、                           （证明材料复印件附后）</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3、                           （证明材料复印件附后）</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特此声明。</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供应商</w:t>
      </w:r>
      <w:r>
        <w:rPr>
          <w:rStyle w:val="1312"/>
          <w:rFonts w:hint="eastAsia" w:ascii="仿宋" w:hAnsi="仿宋" w:eastAsia="仿宋" w:cs="仿宋"/>
          <w:sz w:val="24"/>
          <w:highlight w:val="none"/>
        </w:rPr>
        <w:t xml:space="preserve">对上述声明的真实性负责。如有虚假，将依法承担相应责任。</w:t>
      </w:r>
      <w:r/>
    </w:p>
    <w:p>
      <w:pPr>
        <w:pStyle w:val="1270"/>
        <w:ind w:firstLine="972"/>
        <w:jc w:val="left"/>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w:t>
      </w:r>
      <w:r/>
    </w:p>
    <w:p>
      <w:pPr>
        <w:pStyle w:val="1270"/>
        <w:ind w:firstLine="360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供应商（</w:t>
      </w:r>
      <w:r>
        <w:rPr>
          <w:rStyle w:val="1312"/>
          <w:rFonts w:hint="eastAsia" w:ascii="仿宋" w:hAnsi="仿宋" w:eastAsia="仿宋" w:cs="仿宋"/>
          <w:sz w:val="24"/>
          <w:szCs w:val="24"/>
          <w:highlight w:val="none"/>
        </w:rPr>
        <w:t xml:space="preserve">电子签章</w:t>
      </w:r>
      <w:r>
        <w:rPr>
          <w:rStyle w:val="1312"/>
          <w:rFonts w:hint="eastAsia" w:ascii="仿宋" w:hAnsi="仿宋" w:eastAsia="仿宋" w:cs="仿宋"/>
          <w:sz w:val="24"/>
          <w:highlight w:val="none"/>
        </w:rPr>
        <w:t xml:space="preserve">）：</w:t>
      </w:r>
      <w:r/>
    </w:p>
    <w:p>
      <w:pPr>
        <w:pStyle w:val="1270"/>
        <w:jc w:val="left"/>
        <w:spacing w:line="360" w:lineRule="auto"/>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                              法定代表人或授权代表（签字或盖章）：  </w:t>
      </w:r>
      <w:r/>
    </w:p>
    <w:p>
      <w:pPr>
        <w:pStyle w:val="1270"/>
        <w:ind w:firstLine="3600"/>
        <w:spacing w:line="400" w:lineRule="exact"/>
        <w:widowControl w:val="off"/>
        <w:rPr>
          <w:rStyle w:val="1312"/>
          <w:rFonts w:ascii="仿宋" w:hAnsi="仿宋" w:eastAsia="仿宋" w:cs="仿宋"/>
          <w:sz w:val="24"/>
          <w:highlight w:val="none"/>
        </w:rPr>
      </w:pPr>
      <w:r>
        <w:rPr>
          <w:rStyle w:val="1312"/>
          <w:rFonts w:hint="eastAsia" w:ascii="仿宋" w:hAnsi="仿宋" w:eastAsia="仿宋" w:cs="仿宋"/>
          <w:sz w:val="24"/>
          <w:highlight w:val="none"/>
        </w:rPr>
        <w:t xml:space="preserve">日期：</w:t>
      </w:r>
      <w:r/>
    </w:p>
    <w:p>
      <w:pPr>
        <w:pStyle w:val="1270"/>
        <w:jc w:val="center"/>
        <w:spacing w:line="400" w:lineRule="exact"/>
        <w:widowControl w:val="off"/>
        <w:rPr>
          <w:rStyle w:val="1312"/>
          <w:rFonts w:ascii="仿宋" w:hAnsi="仿宋" w:eastAsia="仿宋" w:cs="仿宋"/>
          <w:sz w:val="28"/>
          <w:szCs w:val="28"/>
          <w:highlight w:val="none"/>
        </w:rPr>
      </w:pPr>
      <w:r>
        <w:rPr>
          <w:rFonts w:ascii="仿宋" w:hAnsi="仿宋" w:eastAsia="仿宋" w:cs="仿宋"/>
          <w:sz w:val="28"/>
          <w:szCs w:val="28"/>
          <w:highlight w:val="none"/>
        </w:rPr>
      </w:r>
      <w:r/>
    </w:p>
    <w:p>
      <w:pPr>
        <w:pStyle w:val="1279"/>
        <w:jc w:val="center"/>
        <w:keepLines w:val="0"/>
        <w:keepNext w:val="0"/>
        <w:widowControl w:val="off"/>
        <w:rPr>
          <w:rStyle w:val="1312"/>
          <w:rFonts w:ascii="仿宋" w:hAnsi="仿宋" w:eastAsia="仿宋" w:cs="仿宋"/>
          <w:sz w:val="28"/>
          <w:highlight w:val="none"/>
        </w:rPr>
        <w:outlineLvl w:val="9"/>
      </w:pPr>
      <w:r>
        <w:rPr>
          <w:rStyle w:val="1312"/>
          <w:rFonts w:hint="eastAsia" w:ascii="仿宋" w:hAnsi="仿宋" w:eastAsia="仿宋" w:cs="仿宋"/>
          <w:sz w:val="28"/>
          <w:highlight w:val="none"/>
        </w:rPr>
        <w:t xml:space="preserve">       </w:t>
      </w:r>
      <w:r/>
    </w:p>
    <w:p>
      <w:pPr>
        <w:pStyle w:val="1279"/>
        <w:jc w:val="center"/>
        <w:keepLines w:val="0"/>
        <w:keepNext w:val="0"/>
        <w:spacing w:before="0" w:after="0" w:line="360" w:lineRule="auto"/>
        <w:widowControl w:val="off"/>
        <w:rPr>
          <w:rStyle w:val="1312"/>
          <w:rFonts w:ascii="仿宋" w:hAnsi="仿宋" w:eastAsia="仿宋" w:cs="仿宋"/>
          <w:sz w:val="28"/>
          <w:highlight w:val="none"/>
        </w:rPr>
      </w:pPr>
      <w:r>
        <w:rPr>
          <w:rStyle w:val="1312"/>
          <w:rFonts w:hint="eastAsia" w:ascii="仿宋" w:hAnsi="仿宋" w:eastAsia="仿宋" w:cs="仿宋"/>
          <w:sz w:val="28"/>
          <w:highlight w:val="none"/>
        </w:rPr>
        <w:br w:type="page" w:clear="all"/>
      </w:r>
      <w:bookmarkStart w:id="31" w:name="_Toc19152"/>
      <w:r>
        <w:rPr>
          <w:rStyle w:val="1312"/>
          <w:rFonts w:hint="eastAsia" w:ascii="仿宋" w:hAnsi="仿宋" w:eastAsia="仿宋" w:cs="仿宋"/>
          <w:sz w:val="28"/>
          <w:highlight w:val="none"/>
        </w:rPr>
        <w:t xml:space="preserve">14、预付款保函支付条款模板</w:t>
      </w:r>
      <w:bookmarkEnd w:id="31"/>
      <w:r/>
      <w:r/>
    </w:p>
    <w:p>
      <w:pPr>
        <w:pStyle w:val="1279"/>
        <w:jc w:val="center"/>
        <w:keepLines w:val="0"/>
        <w:keepNext w:val="0"/>
        <w:spacing w:before="0" w:after="0" w:line="360" w:lineRule="auto"/>
        <w:widowControl w:val="off"/>
        <w:rPr>
          <w:rFonts w:ascii="仿宋" w:hAnsi="仿宋" w:eastAsia="仿宋" w:cs="仿宋"/>
          <w:sz w:val="24"/>
          <w:szCs w:val="24"/>
          <w:highlight w:val="none"/>
        </w:rPr>
        <w:outlineLvl w:val="9"/>
      </w:pPr>
      <w:r/>
      <w:bookmarkStart w:id="32" w:name="_Toc5088"/>
      <w:r>
        <w:rPr>
          <w:rFonts w:hint="eastAsia" w:ascii="仿宋" w:hAnsi="仿宋" w:eastAsia="仿宋" w:cs="仿宋"/>
          <w:sz w:val="24"/>
          <w:szCs w:val="24"/>
          <w:highlight w:val="none"/>
        </w:rPr>
        <w:t xml:space="preserve">符合条件一：提交预付款保函的</w:t>
      </w:r>
      <w:bookmarkEnd w:id="32"/>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（1）合同签订且乙方向甲方出具预付款保函后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 。 </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1270"/>
        <w:jc w:val="left"/>
        <w:spacing w:line="360" w:lineRule="auto"/>
        <w:widowControl w:val="off"/>
        <w:rPr>
          <w:rFonts w:ascii="仿宋" w:hAnsi="仿宋" w:eastAsia="仿宋" w:cs="仿宋"/>
          <w:b/>
          <w:bCs/>
          <w:sz w:val="24"/>
          <w:szCs w:val="24"/>
          <w:highlight w:val="none"/>
        </w:rPr>
      </w:pPr>
      <w:r>
        <w:rPr>
          <w:rFonts w:hint="eastAsia" w:ascii="仿宋" w:hAnsi="仿宋" w:eastAsia="仿宋" w:cs="仿宋"/>
          <w:b/>
          <w:bCs/>
          <w:sz w:val="24"/>
          <w:szCs w:val="24"/>
          <w:highlight w:val="none"/>
        </w:rPr>
        <w:t xml:space="preserve">符合条件二：不提交预付款保函的</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（1）合同签订后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乙方需提交的支付文件：乙方出具的全额正式发票。</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（2）验收合格后</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个工作日内，甲方应支付合同价款的百分之</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%），小写￥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大写：</w:t>
      </w:r>
      <w:r>
        <w:rPr>
          <w:rFonts w:hint="eastAsia" w:ascii="仿宋" w:hAnsi="仿宋" w:eastAsia="仿宋" w:cs="仿宋"/>
          <w:sz w:val="24"/>
          <w:szCs w:val="24"/>
          <w:highlight w:val="none"/>
          <w:u w:val="single"/>
        </w:rPr>
        <w:t xml:space="preserve">   </w:t>
      </w:r>
      <w:r>
        <w:rPr>
          <w:rFonts w:hint="eastAsia" w:ascii="仿宋" w:hAnsi="仿宋" w:eastAsia="仿宋" w:cs="仿宋"/>
          <w:sz w:val="24"/>
          <w:szCs w:val="24"/>
          <w:highlight w:val="none"/>
        </w:rPr>
        <w:t xml:space="preserve">人民币。</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 </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注： </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1、付款条件一中，出具预付款保函后支付的合同款应当与保函金额一致。</w:t>
      </w:r>
      <w:r/>
    </w:p>
    <w:p>
      <w:pPr>
        <w:pStyle w:val="1270"/>
        <w:ind w:firstLine="480"/>
        <w:jc w:val="left"/>
        <w:spacing w:line="360" w:lineRule="auto"/>
        <w:widowControl w:val="off"/>
        <w:rPr>
          <w:rFonts w:ascii="仿宋" w:hAnsi="仿宋" w:eastAsia="仿宋" w:cs="仿宋"/>
          <w:sz w:val="24"/>
          <w:szCs w:val="24"/>
          <w:highlight w:val="none"/>
        </w:rPr>
      </w:pPr>
      <w:r>
        <w:rPr>
          <w:rFonts w:hint="eastAsia" w:ascii="仿宋" w:hAnsi="仿宋" w:eastAsia="仿宋" w:cs="仿宋"/>
          <w:sz w:val="24"/>
          <w:szCs w:val="24"/>
          <w:highlight w:val="none"/>
        </w:rPr>
        <w:t xml:space="preserve">2、付款条件二中，预付款比例设定应符合《关于做好政府采购支持企业发展有关事项的通知》(苏财购〔2020〕52号)要求。</w:t>
      </w:r>
      <w:r/>
    </w:p>
    <w:p>
      <w:pPr>
        <w:pStyle w:val="1271"/>
        <w:ind w:left="0" w:firstLine="0"/>
        <w:jc w:val="center"/>
        <w:spacing w:after="0" w:line="360" w:lineRule="auto"/>
        <w:widowControl w:val="off"/>
        <w:rPr>
          <w:rStyle w:val="1312"/>
          <w:rFonts w:ascii="仿宋" w:hAnsi="仿宋" w:eastAsia="仿宋" w:cs="仿宋"/>
          <w:bCs/>
          <w:color w:val="auto"/>
          <w:sz w:val="28"/>
          <w:highlight w:val="none"/>
        </w:rPr>
        <w:outlineLvl w:val="0"/>
      </w:pPr>
      <w:r>
        <w:rPr>
          <w:rStyle w:val="1312"/>
          <w:rFonts w:hint="eastAsia" w:ascii="仿宋" w:hAnsi="仿宋" w:eastAsia="仿宋" w:cs="仿宋"/>
          <w:b/>
          <w:color w:val="auto"/>
          <w:sz w:val="32"/>
          <w:highlight w:val="none"/>
        </w:rPr>
        <w:br w:type="page" w:clear="all"/>
      </w:r>
      <w:bookmarkStart w:id="33" w:name="_Toc13017"/>
      <w:r>
        <w:rPr>
          <w:rStyle w:val="1312"/>
          <w:rFonts w:hint="eastAsia" w:ascii="仿宋" w:hAnsi="仿宋" w:eastAsia="仿宋" w:cs="仿宋"/>
          <w:color w:val="auto"/>
          <w:sz w:val="28"/>
          <w:szCs w:val="28"/>
          <w:highlight w:val="none"/>
        </w:rPr>
        <w:t xml:space="preserve">15 代理服务收费标准</w:t>
      </w:r>
      <w:bookmarkEnd w:id="33"/>
      <w:r/>
      <w:r/>
    </w:p>
    <w:p>
      <w:pPr>
        <w:spacing w:line="312" w:lineRule="auto"/>
        <w:rPr>
          <w:rFonts w:ascii="仿宋" w:hAnsi="仿宋" w:eastAsia="仿宋" w:cs="仿宋"/>
          <w:sz w:val="24"/>
          <w:szCs w:val="24"/>
          <w:highlight w:val="none"/>
        </w:rPr>
      </w:pPr>
      <w:r>
        <w:rPr>
          <w:rFonts w:ascii="仿宋" w:hAnsi="仿宋" w:eastAsia="仿宋" w:cs="仿宋"/>
          <w:sz w:val="24"/>
          <w:szCs w:val="24"/>
          <w:highlight w:val="none"/>
        </w:rPr>
      </w:r>
      <w:r/>
    </w:p>
    <w:tbl>
      <w:tblPr>
        <w:tblStyle w:val="1058"/>
        <w:tblW w:w="952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64"/>
        <w:gridCol w:w="3662"/>
      </w:tblGrid>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bookmarkStart w:id="34" w:name="OLE_LINK13"/>
            <w:r>
              <w:rPr>
                <w:rFonts w:hint="eastAsia" w:ascii="宋体" w:hAnsi="宋体" w:cs="宋体"/>
                <w:sz w:val="24"/>
                <w:highlight w:val="none"/>
              </w:rPr>
              <w:t xml:space="preserve">中标或者成交金额</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费率</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最低收费金额(每个委托项目)</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5000元</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50万元以下(含50万元)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1.6%</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50-400万元(含400万元)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400-1000万元(含1000万元)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1000-5000万元(含5000万元)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0.8%</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5000-1亿元(含1亿元)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0.25%</w:t>
            </w:r>
            <w:r/>
          </w:p>
        </w:tc>
      </w:tr>
      <w:tr>
        <w:trPr>
          <w:jc w:val="center"/>
          <w:trHeight w:val="590"/>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1-10亿元(含10亿元)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0.05%</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10-50亿元(含50亿元)</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0.01%</w:t>
            </w:r>
            <w:r/>
          </w:p>
        </w:tc>
      </w:tr>
      <w:tr>
        <w:trPr>
          <w:jc w:val="center"/>
          <w:trHeight w:val="547"/>
        </w:trPr>
        <w:tc>
          <w:tcPr>
            <w:tcMar>
              <w:left w:w="108" w:type="dxa"/>
              <w:top w:w="0" w:type="dxa"/>
              <w:right w:w="108" w:type="dxa"/>
              <w:bottom w:w="0" w:type="dxa"/>
            </w:tcMar>
            <w:tcW w:w="5864"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50亿元以上</w:t>
            </w:r>
            <w:r/>
          </w:p>
        </w:tc>
        <w:tc>
          <w:tcPr>
            <w:tcMar>
              <w:left w:w="108" w:type="dxa"/>
              <w:top w:w="0" w:type="dxa"/>
              <w:right w:w="108" w:type="dxa"/>
              <w:bottom w:w="0" w:type="dxa"/>
            </w:tcMar>
            <w:tcW w:w="3662" w:type="dxa"/>
            <w:vAlign w:val="center"/>
            <w:textDirection w:val="lrTb"/>
            <w:noWrap w:val="false"/>
          </w:tcPr>
          <w:p>
            <w:pPr>
              <w:jc w:val="center"/>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0.005%</w:t>
            </w:r>
            <w:r/>
          </w:p>
        </w:tc>
      </w:tr>
    </w:tbl>
    <w:p>
      <w:pPr>
        <w:spacing w:line="360" w:lineRule="auto"/>
        <w:rPr>
          <w:rFonts w:ascii="宋体" w:hAnsi="宋体" w:cs="宋体"/>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sz w:val="24"/>
          <w:highlight w:val="none"/>
        </w:rPr>
        <w:t xml:space="preserve">说明：</w:t>
      </w:r>
      <w:r/>
    </w:p>
    <w:p>
      <w:pPr>
        <w:spacing w:line="360" w:lineRule="auto"/>
        <w:rPr>
          <w:rFonts w:ascii="宋体" w:hAnsi="宋体" w:cs="宋体"/>
          <w:sz w:val="24"/>
          <w:highlight w:val="none"/>
        </w:rPr>
      </w:pPr>
      <w:r>
        <w:rPr>
          <w:rFonts w:hint="eastAsia" w:ascii="宋体" w:hAnsi="宋体" w:cs="宋体"/>
          <w:sz w:val="24"/>
          <w:highlight w:val="none"/>
        </w:rPr>
        <w:t xml:space="preserve">1、按上表计算的收费为代理服务全过程的收费金额。各社会代理机构不再收取采购文件制作售卖费用。</w:t>
      </w:r>
      <w:r/>
    </w:p>
    <w:p>
      <w:pPr>
        <w:spacing w:line="360" w:lineRule="auto"/>
        <w:rPr>
          <w:rFonts w:ascii="宋体" w:hAnsi="宋体" w:cs="宋体"/>
          <w:sz w:val="24"/>
          <w:highlight w:val="none"/>
        </w:rPr>
      </w:pPr>
      <w:r>
        <w:rPr>
          <w:rFonts w:hint="eastAsia" w:ascii="宋体" w:hAnsi="宋体" w:cs="宋体"/>
          <w:sz w:val="24"/>
          <w:highlight w:val="none"/>
        </w:rPr>
        <w:t xml:space="preserve">2、代理服务费按差额定率累进法计算。</w:t>
      </w:r>
      <w:r/>
    </w:p>
    <w:p>
      <w:pPr>
        <w:spacing w:line="360" w:lineRule="auto"/>
        <w:rPr>
          <w:rFonts w:ascii="宋体" w:hAnsi="宋体" w:cs="宋体"/>
          <w:sz w:val="24"/>
          <w:highlight w:val="none"/>
        </w:rPr>
      </w:pPr>
      <w:r>
        <w:rPr>
          <w:rFonts w:hint="eastAsia" w:ascii="宋体" w:hAnsi="宋体" w:cs="宋体"/>
          <w:sz w:val="24"/>
          <w:highlight w:val="none"/>
        </w:rPr>
        <w:t xml:space="preserve">3、代理服务费基准金额（按差额定率累进法计算的）=中标金额（按差额定率累进法计算的）*费率（%）</w:t>
      </w:r>
      <w:r/>
    </w:p>
    <w:p>
      <w:pPr>
        <w:spacing w:line="360" w:lineRule="auto"/>
        <w:rPr>
          <w:rFonts w:ascii="宋体" w:hAnsi="宋体" w:cs="宋体"/>
          <w:sz w:val="24"/>
          <w:highlight w:val="none"/>
        </w:rPr>
      </w:pPr>
      <w:r>
        <w:rPr>
          <w:rFonts w:hint="eastAsia" w:ascii="宋体" w:hAnsi="宋体" w:cs="宋体"/>
          <w:sz w:val="24"/>
          <w:highlight w:val="none"/>
        </w:rPr>
        <w:t xml:space="preserve">4、代理服务费应收取金额=代理服务费基准金额（按差额定率累进法计算的）的合计数。</w:t>
      </w:r>
      <w:r/>
    </w:p>
    <w:p>
      <w:pPr>
        <w:spacing w:line="360" w:lineRule="auto"/>
        <w:rPr>
          <w:rFonts w:ascii="宋体" w:hAnsi="宋体" w:cs="宋体"/>
          <w:sz w:val="24"/>
          <w:highlight w:val="none"/>
        </w:rPr>
      </w:pPr>
      <w:r>
        <w:rPr>
          <w:rFonts w:hint="eastAsia" w:ascii="宋体" w:hAnsi="宋体" w:cs="宋体"/>
          <w:sz w:val="24"/>
          <w:highlight w:val="none"/>
        </w:rPr>
        <w:t xml:space="preserve">5、定点类等无金额或事先不能计算出价格总额的项目，按中标（成交）金额100万元计算服务费。</w:t>
      </w:r>
      <w:r/>
    </w:p>
    <w:p>
      <w:pPr>
        <w:spacing w:line="360" w:lineRule="auto"/>
        <w:rPr>
          <w:rFonts w:ascii="宋体" w:hAnsi="宋体" w:cs="宋体"/>
          <w:sz w:val="24"/>
          <w:highlight w:val="none"/>
        </w:rPr>
      </w:pPr>
      <w:r>
        <w:rPr>
          <w:rFonts w:hint="eastAsia" w:ascii="宋体" w:hAnsi="宋体" w:cs="宋体"/>
          <w:sz w:val="24"/>
          <w:highlight w:val="none"/>
        </w:rPr>
        <w:t xml:space="preserve">6、有分包（分标段）项目按总项目中标（成交）金额收费。</w:t>
      </w:r>
      <w:r/>
    </w:p>
    <w:p>
      <w:pPr>
        <w:spacing w:line="360" w:lineRule="auto"/>
        <w:rPr>
          <w:rFonts w:ascii="宋体" w:hAnsi="宋体" w:cs="宋体"/>
          <w:sz w:val="24"/>
          <w:highlight w:val="none"/>
        </w:rPr>
      </w:pPr>
      <w:r>
        <w:rPr>
          <w:rFonts w:hint="eastAsia" w:ascii="宋体" w:hAnsi="宋体" w:cs="宋体"/>
          <w:sz w:val="24"/>
          <w:highlight w:val="none"/>
        </w:rPr>
        <w:t xml:space="preserve">7、以上价格为协会指导价，双方可根据项目难易程度和优质优价原则协商确定。</w:t>
      </w:r>
      <w:bookmarkEnd w:id="34"/>
      <w:r/>
      <w:r/>
    </w:p>
    <w:p>
      <w:pPr>
        <w:pStyle w:val="1270"/>
        <w:ind w:firstLine="505"/>
        <w:jc w:val="left"/>
        <w:spacing w:line="360" w:lineRule="auto"/>
        <w:widowControl w:val="off"/>
        <w:rPr>
          <w:rFonts w:ascii="仿宋" w:hAnsi="仿宋" w:eastAsia="仿宋" w:cs="仿宋"/>
          <w:spacing w:val="6"/>
          <w:sz w:val="21"/>
          <w:szCs w:val="16"/>
          <w:highlight w:val="none"/>
        </w:rPr>
      </w:pPr>
      <w:r>
        <w:rPr>
          <w:rFonts w:ascii="仿宋" w:hAnsi="仿宋" w:eastAsia="仿宋" w:cs="仿宋"/>
          <w:spacing w:val="6"/>
          <w:sz w:val="21"/>
          <w:szCs w:val="16"/>
          <w:highlight w:val="none"/>
        </w:rPr>
      </w:r>
      <w:r/>
    </w:p>
    <w:p>
      <w:pPr>
        <w:pStyle w:val="1288"/>
        <w:widowControl w:val="off"/>
        <w:rPr>
          <w:rFonts w:ascii="仿宋" w:hAnsi="仿宋" w:eastAsia="仿宋" w:cs="仿宋"/>
          <w:b/>
          <w:bCs/>
          <w:sz w:val="28"/>
          <w:szCs w:val="28"/>
          <w:highlight w:val="none"/>
        </w:rPr>
      </w:pPr>
      <w:r>
        <w:rPr>
          <w:rFonts w:ascii="仿宋" w:hAnsi="仿宋" w:eastAsia="仿宋" w:cs="仿宋"/>
          <w:b/>
          <w:bCs/>
          <w:sz w:val="28"/>
          <w:szCs w:val="28"/>
          <w:highlight w:val="none"/>
        </w:rPr>
      </w:r>
      <w:r/>
    </w:p>
    <w:p>
      <w:pPr>
        <w:pStyle w:val="1288"/>
        <w:ind w:firstLine="562"/>
        <w:jc w:val="center"/>
        <w:widowControl w:val="off"/>
        <w:rPr>
          <w:rFonts w:ascii="仿宋" w:hAnsi="仿宋" w:eastAsia="仿宋" w:cs="仿宋"/>
          <w:b/>
          <w:bCs/>
          <w:sz w:val="24"/>
          <w:szCs w:val="24"/>
          <w:highlight w:val="none"/>
        </w:rPr>
      </w:pPr>
      <w:r>
        <w:rPr>
          <w:rFonts w:hint="eastAsia" w:ascii="仿宋" w:hAnsi="仿宋" w:eastAsia="仿宋" w:cs="仿宋"/>
          <w:b/>
          <w:bCs/>
          <w:sz w:val="28"/>
          <w:szCs w:val="28"/>
          <w:highlight w:val="none"/>
        </w:rPr>
        <w:t xml:space="preserve">（以下无正文）</w:t>
      </w:r>
      <w:bookmarkEnd w:id="35"/>
      <w:r/>
      <w:r/>
    </w:p>
    <w:sectPr>
      <w:headerReference w:type="default" r:id="rId15"/>
      <w:footerReference w:type="default" r:id="rId23"/>
      <w:footerReference w:type="first" r:id="rId24"/>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2">
    <w:panose1 w:val="05020102010507070707"/>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libri Light">
    <w:panose1 w:val="020F0302020204030204"/>
  </w:font>
  <w:font w:name="Cambria">
    <w:panose1 w:val="02040503050406030204"/>
  </w:font>
  <w:font w:name="黑体">
    <w:panose1 w:val="02010609060101010101"/>
  </w:font>
  <w:font w:name="仿宋_GB2312">
    <w:panose1 w:val="02010609060101010101"/>
  </w:font>
  <w:font w:name="Calibri">
    <w:panose1 w:val="020F0502020204030204"/>
  </w:font>
  <w:font w:name="长城仿宋">
    <w:panose1 w:val="020B0503020202020204"/>
  </w:font>
  <w:font w:name="Arial">
    <w:panose1 w:val="020B0604020202020204"/>
  </w:font>
  <w:font w:name="隶书">
    <w:panose1 w:val="02010509060101010101"/>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74"/>
                          </w:pPr>
                          <w:r>
                            <w:fldChar w:fldCharType="begin"/>
                          </w:r>
                          <w:r>
                            <w:instrText xml:space="preserve"> PAGE  \* MERGEFORMAT </w:instrText>
                          </w:r>
                          <w:r>
                            <w:fldChar w:fldCharType="separate"/>
                          </w:r>
                          <w:r>
                            <w:t xml:space="preserve">2</w:t>
                          </w:r>
                          <w:r>
                            <w:fldChar w:fldCharType="end"/>
                          </w:r>
                          <w:r/>
                        </w:p>
                      </w:txbxContent>
                    </wps:txbx>
                    <wps:bodyPr wrap="none" lIns="0" tIns="0" rIns="0" bIns="0">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74"/>
                    </w:pPr>
                    <w:r>
                      <w:fldChar w:fldCharType="begin"/>
                    </w:r>
                    <w:r>
                      <w:instrText xml:space="preserve"> PAGE  \* MERGEFORMAT </w:instrText>
                    </w:r>
                    <w:r>
                      <w:fldChar w:fldCharType="separate"/>
                    </w:r>
                    <w:r>
                      <w:t xml:space="preserve">2</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jc w:val="center"/>
      <w:rPr>
        <w:rFonts w:ascii="Times New Roman" w:hAnsi="Times New Roman"/>
      </w:rPr>
    </w:pPr>
    <w:r>
      <w:rPr>
        <w:rFonts w:ascii="Times New Roman" w:hAnsi="Times New Roman"/>
      </w:rPr>
      <w:fldChar w:fldCharType="begin"/>
    </w:r>
    <w:r>
      <w:rPr>
        <w:rFonts w:ascii="Times New Roman" w:hAnsi="Times New Roman"/>
      </w:rPr>
      <w:instrText xml:space="preserve">PAGE   \* MERGEFORMAT</w:instrText>
    </w:r>
    <w:r>
      <w:rPr>
        <w:rFonts w:ascii="Times New Roman" w:hAnsi="Times New Roman"/>
      </w:rPr>
      <w:fldChar w:fldCharType="separate"/>
    </w:r>
    <w:r>
      <w:rPr>
        <w:rFonts w:ascii="Times New Roman" w:hAnsi="Times New Roman"/>
        <w:lang w:val="zh-CN"/>
      </w:rPr>
      <w:t xml:space="preserve">16</w:t>
    </w:r>
    <w:r>
      <w:rPr>
        <w:rFonts w:ascii="Times New Roman" w:hAnsi="Times New Roman"/>
        <w:lang w:val="zh-CN"/>
      </w:rPr>
      <w:fldChar w:fldCharType="end"/>
    </w:r>
    <w:r/>
  </w:p>
  <w:p>
    <w:pPr>
      <w:pStyle w:val="1074"/>
      <w:rPr>
        <w:rFonts w:ascii="Times New Roman" w:hAnsi="Times New Roman"/>
      </w:rPr>
    </w:pPr>
    <w:r>
      <w:rPr>
        <w:rFonts w:ascii="Times New Roman" w:hAnsi="Times New Roman"/>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tabs>
        <w:tab w:val="center" w:pos="4873" w:leader="none"/>
        <w:tab w:val="clear" w:pos="7143" w:leader="none"/>
        <w:tab w:val="clear" w:pos="14287"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posOffset>2954655</wp:posOffset>
              </wp:positionH>
              <wp:positionV relativeFrom="paragraph">
                <wp:posOffset>-7620</wp:posOffset>
              </wp:positionV>
              <wp:extent cx="207010" cy="162560"/>
              <wp:effectExtent l="6350" t="6350" r="6350" b="635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207179" cy="162780"/>
                      </a:xfrm>
                      <a:prstGeom prst="rect">
                        <a:avLst/>
                      </a:prstGeom>
                      <a:noFill/>
                      <a:ln>
                        <a:noFill/>
                      </a:ln>
                    </wps:spPr>
                    <wps:txbx>
                      <w:txbxContent>
                        <w:p>
                          <w:pPr>
                            <w:pStyle w:val="1074"/>
                          </w:pPr>
                          <w:r>
                            <w:fldChar w:fldCharType="begin"/>
                          </w:r>
                          <w:r>
                            <w:instrText xml:space="preserve"> PAGE  \* MERGEFORMAT </w:instrText>
                          </w:r>
                          <w:r>
                            <w:fldChar w:fldCharType="separate"/>
                          </w:r>
                          <w:r>
                            <w:t xml:space="preserve">58</w:t>
                          </w:r>
                          <w:r>
                            <w:fldChar w:fldCharType="end"/>
                          </w:r>
                          <w:r/>
                        </w:p>
                      </w:txbxContent>
                    </wps:txbx>
                    <wps:bodyPr wrap="square" lIns="0" tIns="0" rIns="0" bIns="0">
                      <a:noAutofit/>
                    </wps:bodyPr>
                  </wps:wsp>
                </a:graphicData>
              </a:graphic>
            </wp:anchor>
          </w:drawing>
        </mc:Choice>
        <mc:Fallback>
          <w:pict>
            <v:shape id="shape 1" o:spid="_x0000_s1" o:spt="202" type="#_x0000_t202" style="position:absolute;z-index:251666432;o:allowoverlap:true;o:allowincell:true;mso-position-horizontal-relative:margin;margin-left:232.6pt;mso-position-horizontal:absolute;mso-position-vertical-relative:text;margin-top:-0.6pt;mso-position-vertical:absolute;width:16.3pt;height:12.8pt;mso-wrap-distance-left:9.0pt;mso-wrap-distance-top:0.0pt;mso-wrap-distance-right:9.0pt;mso-wrap-distance-bottom:0.0pt;visibility:visible;" filled="f" stroked="f">
              <v:textbox inset="0,0,0,0">
                <w:txbxContent>
                  <w:p>
                    <w:pPr>
                      <w:pStyle w:val="1074"/>
                    </w:pPr>
                    <w:r>
                      <w:fldChar w:fldCharType="begin"/>
                    </w:r>
                    <w:r>
                      <w:instrText xml:space="preserve"> PAGE  \* MERGEFORMAT </w:instrText>
                    </w:r>
                    <w:r>
                      <w:fldChar w:fldCharType="separate"/>
                    </w:r>
                    <w:r>
                      <w:t xml:space="preserve">58</w:t>
                    </w:r>
                    <w:r>
                      <w:fldChar w:fldCharType="end"/>
                    </w:r>
                    <w:r/>
                  </w:p>
                </w:txbxContent>
              </v:textbox>
            </v:shape>
          </w:pict>
        </mc:Fallback>
      </mc:AlternateContent>
    </w:r>
    <w:r>
      <w:tab/>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right"/>
      <w:rPr>
        <w:sz w:val="21"/>
        <w:szCs w:val="21"/>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28270" cy="162560"/>
              <wp:effectExtent l="6350" t="6350" r="6350" b="6350"/>
              <wp:wrapNone/>
              <wp:docPr id="3" name="文本框 7"/>
              <wp:cNvGraphicFramePr/>
              <a:graphic xmlns:a="http://schemas.openxmlformats.org/drawingml/2006/main">
                <a:graphicData uri="http://schemas.microsoft.com/office/word/2010/wordprocessingShape">
                  <wps:wsp>
                    <wps:cNvPr id="0" name=""/>
                    <wps:cNvSpPr txBox="1"/>
                    <wps:spPr bwMode="auto">
                      <a:xfrm flipH="1">
                        <a:off x="0" y="0"/>
                        <a:ext cx="128256" cy="162780"/>
                      </a:xfrm>
                      <a:prstGeom prst="rect">
                        <a:avLst/>
                      </a:prstGeom>
                      <a:noFill/>
                      <a:ln>
                        <a:noFill/>
                      </a:ln>
                    </wps:spPr>
                    <wps:txbx>
                      <w:txbxContent>
                        <w:p>
                          <w:pPr>
                            <w:pStyle w:val="1074"/>
                          </w:pPr>
                          <w:r>
                            <w:fldChar w:fldCharType="begin"/>
                          </w:r>
                          <w:r>
                            <w:instrText xml:space="preserve"> PAGE  \* MERGEFORMAT </w:instrText>
                          </w:r>
                          <w:r>
                            <w:fldChar w:fldCharType="separate"/>
                          </w:r>
                          <w:r>
                            <w:t xml:space="preserve">27</w:t>
                          </w:r>
                          <w:r>
                            <w:fldChar w:fldCharType="end"/>
                          </w:r>
                          <w:r/>
                        </w:p>
                      </w:txbxContent>
                    </wps:txbx>
                    <wps:bodyPr wrap="square" lIns="0" tIns="0" rIns="0" bIns="0">
                      <a:no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0.1pt;height:12.8pt;mso-wrap-distance-left:9.0pt;mso-wrap-distance-top:0.0pt;mso-wrap-distance-right:9.0pt;mso-wrap-distance-bottom:0.0pt;flip:x;visibility:visible;" filled="f" stroked="f">
              <v:textbox inset="0,0,0,0">
                <w:txbxContent>
                  <w:p>
                    <w:pPr>
                      <w:pStyle w:val="1074"/>
                    </w:pPr>
                    <w:r>
                      <w:fldChar w:fldCharType="begin"/>
                    </w:r>
                    <w:r>
                      <w:instrText xml:space="preserve"> PAGE  \* MERGEFORMAT </w:instrText>
                    </w:r>
                    <w:r>
                      <w:fldChar w:fldCharType="separate"/>
                    </w:r>
                    <w:r>
                      <w:t xml:space="preserve">27</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7330" cy="162560"/>
              <wp:effectExtent l="6350" t="6350" r="6350" b="635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7628" cy="162780"/>
                      </a:xfrm>
                      <a:prstGeom prst="rect">
                        <a:avLst/>
                      </a:prstGeom>
                      <a:noFill/>
                      <a:ln>
                        <a:noFill/>
                      </a:ln>
                    </wps:spPr>
                    <wps:txbx>
                      <w:txbxContent>
                        <w:p>
                          <w:pPr>
                            <w:pStyle w:val="1074"/>
                          </w:pPr>
                          <w:r>
                            <w:fldChar w:fldCharType="begin"/>
                          </w:r>
                          <w:r>
                            <w:instrText xml:space="preserve"> PAGE  \* MERGEFORMAT </w:instrText>
                          </w:r>
                          <w:r>
                            <w:fldChar w:fldCharType="separate"/>
                          </w:r>
                          <w:r>
                            <w:t xml:space="preserve">68</w:t>
                          </w:r>
                          <w:r>
                            <w:fldChar w:fldCharType="end"/>
                          </w:r>
                          <w:r/>
                        </w:p>
                      </w:txbxContent>
                    </wps:txbx>
                    <wps:bodyPr wrap="square" lIns="0" tIns="0" rIns="0" bIns="0">
                      <a:no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074"/>
                    </w:pPr>
                    <w:r>
                      <w:fldChar w:fldCharType="begin"/>
                    </w:r>
                    <w:r>
                      <w:instrText xml:space="preserve"> PAGE  \* MERGEFORMAT </w:instrText>
                    </w:r>
                    <w:r>
                      <w:fldChar w:fldCharType="separate"/>
                    </w:r>
                    <w:r>
                      <w:t xml:space="preserve">68</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ind w:right="360"/>
      <w:tabs>
        <w:tab w:val="clear" w:pos="4153" w:leader="none"/>
        <w:tab w:val="center" w:pos="4873" w:leader="none"/>
        <w:tab w:val="clear"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227330" cy="162560"/>
              <wp:effectExtent l="6350" t="6350" r="6350" b="6350"/>
              <wp:wrapNone/>
              <wp:docPr id="5" name="文本框 5"/>
              <wp:cNvGraphicFramePr/>
              <a:graphic xmlns:a="http://schemas.openxmlformats.org/drawingml/2006/main">
                <a:graphicData uri="http://schemas.microsoft.com/office/word/2010/wordprocessingShape">
                  <wps:wsp>
                    <wps:cNvPr id="0" name=""/>
                    <wps:cNvSpPr txBox="1"/>
                    <wps:spPr bwMode="auto">
                      <a:xfrm>
                        <a:off x="0" y="0"/>
                        <a:ext cx="227628" cy="162780"/>
                      </a:xfrm>
                      <a:prstGeom prst="rect">
                        <a:avLst/>
                      </a:prstGeom>
                      <a:noFill/>
                      <a:ln>
                        <a:noFill/>
                      </a:ln>
                    </wps:spPr>
                    <wps:txbx>
                      <w:txbxContent>
                        <w:p>
                          <w:pPr>
                            <w:pStyle w:val="1074"/>
                          </w:pPr>
                          <w:r>
                            <w:fldChar w:fldCharType="begin"/>
                          </w:r>
                          <w:r>
                            <w:instrText xml:space="preserve"> PAGE  \* MERGEFORMAT </w:instrText>
                          </w:r>
                          <w:r>
                            <w:fldChar w:fldCharType="separate"/>
                          </w:r>
                          <w:r>
                            <w:t xml:space="preserve">70</w:t>
                          </w:r>
                          <w:r>
                            <w:fldChar w:fldCharType="end"/>
                          </w:r>
                          <w:r/>
                        </w:p>
                      </w:txbxContent>
                    </wps:txbx>
                    <wps:bodyPr wrap="square" lIns="0" tIns="0" rIns="0" bIns="0">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074"/>
                    </w:pPr>
                    <w:r>
                      <w:fldChar w:fldCharType="begin"/>
                    </w:r>
                    <w:r>
                      <w:instrText xml:space="preserve"> PAGE  \* MERGEFORMAT </w:instrText>
                    </w:r>
                    <w:r>
                      <w:fldChar w:fldCharType="separate"/>
                    </w:r>
                    <w:r>
                      <w:t xml:space="preserve">70</w:t>
                    </w:r>
                    <w:r>
                      <w:fldChar w:fldCharType="end"/>
                    </w:r>
                    <w:r/>
                  </w:p>
                </w:txbxContent>
              </v:textbox>
            </v:shape>
          </w:pict>
        </mc:Fallback>
      </mc:AlternateContent>
    </w:r>
    <w:r>
      <w:tab/>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4"/>
      <w:tabs>
        <w:tab w:val="center" w:pos="4153" w:leader="none"/>
        <w:tab w:val="right" w:pos="8306" w:leader="none"/>
      </w:tabs>
      <w:rPr>
        <w:rStyle w:val="1308"/>
      </w:rPr>
      <w:framePr w:wrap="around" w:vAnchor="text" w:hAnchor="margin" w:xAlign="right" w:y="1"/>
    </w:pPr>
    <w:r>
      <w:fldChar w:fldCharType="begin"/>
    </w:r>
    <w:r>
      <w:rPr>
        <w:rStyle w:val="1308"/>
      </w:rPr>
      <w:instrText xml:space="preserve">PAGE  </w:instrText>
    </w:r>
    <w:r>
      <w:fldChar w:fldCharType="separate"/>
    </w:r>
    <w:r>
      <w:rPr>
        <w:rStyle w:val="1308"/>
      </w:rPr>
      <w:t xml:space="preserve">19</w:t>
    </w:r>
    <w:r>
      <w:fldChar w:fldCharType="end"/>
    </w:r>
    <w:r/>
  </w:p>
  <w:p>
    <w:pPr>
      <w:pStyle w:val="1294"/>
      <w:ind w:right="360"/>
      <w:tabs>
        <w:tab w:val="center" w:pos="4153" w:leader="none"/>
        <w:tab w:val="right" w:pos="8306" w:leader="none"/>
      </w:tabs>
    </w:pPr>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right"/>
      <w:tabs>
        <w:tab w:val="right" w:pos="4153" w:leader="none"/>
        <w:tab w:val="left" w:pos="8306" w:leader="underscore"/>
      </w:tabs>
      <w:rPr>
        <w:rStyle w:val="1312"/>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219710" cy="162560"/>
              <wp:effectExtent l="6350" t="6350" r="6350" b="6350"/>
              <wp:wrapNone/>
              <wp:docPr id="6" name="文本框 8"/>
              <wp:cNvGraphicFramePr/>
              <a:graphic xmlns:a="http://schemas.openxmlformats.org/drawingml/2006/main">
                <a:graphicData uri="http://schemas.microsoft.com/office/word/2010/wordprocessingShape">
                  <wps:wsp>
                    <wps:cNvPr id="0" name=""/>
                    <wps:cNvSpPr txBox="1"/>
                    <wps:spPr bwMode="auto">
                      <a:xfrm>
                        <a:off x="0" y="0"/>
                        <a:ext cx="219690" cy="162780"/>
                      </a:xfrm>
                      <a:prstGeom prst="rect">
                        <a:avLst/>
                      </a:prstGeom>
                      <a:noFill/>
                      <a:ln>
                        <a:noFill/>
                      </a:ln>
                    </wps:spPr>
                    <wps:txbx>
                      <w:txbxContent>
                        <w:p>
                          <w:pPr>
                            <w:pStyle w:val="1074"/>
                          </w:pPr>
                          <w:r>
                            <w:fldChar w:fldCharType="begin"/>
                          </w:r>
                          <w:r>
                            <w:instrText xml:space="preserve"> PAGE  \* MERGEFORMAT </w:instrText>
                          </w:r>
                          <w:r>
                            <w:fldChar w:fldCharType="separate"/>
                          </w:r>
                          <w:r>
                            <w:t xml:space="preserve">74</w:t>
                          </w:r>
                          <w:r>
                            <w:fldChar w:fldCharType="end"/>
                          </w:r>
                          <w:r/>
                        </w:p>
                      </w:txbxContent>
                    </wps:txbx>
                    <wps:bodyPr wrap="square" lIns="0" tIns="0" rIns="0" bIns="0">
                      <a:no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7.3pt;height:12.8pt;mso-wrap-distance-left:9.0pt;mso-wrap-distance-top:0.0pt;mso-wrap-distance-right:9.0pt;mso-wrap-distance-bottom:0.0pt;visibility:visible;" filled="f" stroked="f">
              <v:textbox inset="0,0,0,0">
                <w:txbxContent>
                  <w:p>
                    <w:pPr>
                      <w:pStyle w:val="1074"/>
                    </w:pPr>
                    <w:r>
                      <w:fldChar w:fldCharType="begin"/>
                    </w:r>
                    <w:r>
                      <w:instrText xml:space="preserve"> PAGE  \* MERGEFORMAT </w:instrText>
                    </w:r>
                    <w:r>
                      <w:fldChar w:fldCharType="separate"/>
                    </w:r>
                    <w:r>
                      <w:t xml:space="preserve">74</w:t>
                    </w:r>
                    <w:r>
                      <w:fldChar w:fldCharType="end"/>
                    </w:r>
                    <w:r/>
                  </w:p>
                </w:txbxContent>
              </v:textbox>
            </v:shape>
          </w:pict>
        </mc:Fallback>
      </mc:AlternateContent>
    </w:r>
    <w:r/>
  </w:p>
  <w:p>
    <w:pPr>
      <w:pStyle w:val="1270"/>
      <w:rPr>
        <w:rStyle w:val="1312"/>
        <w:rFonts w:ascii="隶书" w:eastAsia="隶书"/>
        <w:b/>
        <w:i/>
        <w:sz w:val="18"/>
      </w:rPr>
    </w:pPr>
    <w:r>
      <w:rPr>
        <w:rFonts w:ascii="隶书" w:eastAsia="隶书"/>
        <w:b/>
        <w:i/>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227330" cy="162560"/>
              <wp:effectExtent l="6350" t="6350" r="6350" b="6350"/>
              <wp:wrapNone/>
              <wp:docPr id="7" name="文本框 9"/>
              <wp:cNvGraphicFramePr/>
              <a:graphic xmlns:a="http://schemas.openxmlformats.org/drawingml/2006/main">
                <a:graphicData uri="http://schemas.microsoft.com/office/word/2010/wordprocessingShape">
                  <wps:wsp>
                    <wps:cNvPr id="0" name=""/>
                    <wps:cNvSpPr txBox="1"/>
                    <wps:spPr bwMode="auto">
                      <a:xfrm>
                        <a:off x="0" y="0"/>
                        <a:ext cx="227628" cy="162780"/>
                      </a:xfrm>
                      <a:prstGeom prst="rect">
                        <a:avLst/>
                      </a:prstGeom>
                      <a:noFill/>
                      <a:ln>
                        <a:noFill/>
                      </a:ln>
                    </wps:spPr>
                    <wps:txbx>
                      <w:txbxContent>
                        <w:p>
                          <w:pPr>
                            <w:pStyle w:val="1074"/>
                          </w:pPr>
                          <w:r>
                            <w:fldChar w:fldCharType="begin"/>
                          </w:r>
                          <w:r>
                            <w:instrText xml:space="preserve"> PAGE  \* MERGEFORMAT </w:instrText>
                          </w:r>
                          <w:r>
                            <w:fldChar w:fldCharType="separate"/>
                          </w:r>
                          <w:r>
                            <w:t xml:space="preserve">71</w:t>
                          </w:r>
                          <w:r>
                            <w:fldChar w:fldCharType="end"/>
                          </w:r>
                          <w:r/>
                        </w:p>
                      </w:txbxContent>
                    </wps:txbx>
                    <wps:bodyPr wrap="square" lIns="0" tIns="0" rIns="0" bIns="0">
                      <a:no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7.9pt;height:12.8pt;mso-wrap-distance-left:9.0pt;mso-wrap-distance-top:0.0pt;mso-wrap-distance-right:9.0pt;mso-wrap-distance-bottom:0.0pt;visibility:visible;" filled="f" stroked="f">
              <v:textbox inset="0,0,0,0">
                <w:txbxContent>
                  <w:p>
                    <w:pPr>
                      <w:pStyle w:val="1074"/>
                    </w:pPr>
                    <w:r>
                      <w:fldChar w:fldCharType="begin"/>
                    </w:r>
                    <w:r>
                      <w:instrText xml:space="preserve"> PAGE  \* MERGEFORMAT </w:instrText>
                    </w:r>
                    <w:r>
                      <w:fldChar w:fldCharType="separate"/>
                    </w:r>
                    <w:r>
                      <w:t xml:space="preserve">71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lang w:eastAsia="zh-CN"/>
      </w:rPr>
      <w:t xml:space="preserve">巡特警支队训练场地整治项目</w:t>
    </w:r>
    <w:r>
      <w:rPr>
        <w:rFonts w:hint="eastAsia" w:ascii="仿宋" w:hAnsi="仿宋" w:eastAsia="仿宋" w:cs="仿宋"/>
      </w:rPr>
      <w:t xml:space="preserve">竞争性磋商文件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lang w:eastAsia="zh-CN"/>
      </w:rPr>
      <w:t xml:space="preserve">巡特警支队训练场地整治项目</w:t>
    </w:r>
    <w:r>
      <w:rPr>
        <w:rFonts w:hint="eastAsia" w:ascii="仿宋" w:hAnsi="仿宋" w:eastAsia="仿宋" w:cs="仿宋"/>
      </w:rPr>
      <w:t xml:space="preserve">竞争性磋商文件</w:t>
    </w:r>
    <w:r/>
  </w:p>
  <w:p>
    <w:pPr>
      <w:pStyle w:val="107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lang w:eastAsia="zh-CN"/>
      </w:rPr>
      <w:t xml:space="preserve">巡特警支队训练场地整治项目</w:t>
    </w:r>
    <w:r>
      <w:rPr>
        <w:rFonts w:hint="eastAsia" w:ascii="仿宋" w:hAnsi="仿宋" w:eastAsia="仿宋" w:cs="仿宋"/>
      </w:rPr>
      <w:t xml:space="preserve">竞争性磋商文件</w:t>
    </w:r>
    <w:r/>
  </w:p>
  <w:p>
    <w:pPr>
      <w:ind w:firstLine="174"/>
      <w:jc w:val="left"/>
      <w:rPr>
        <w:rFonts w:ascii="Times New Roman" w:hAnsi="Times New Roman"/>
        <w:sz w:val="20"/>
        <w:szCs w:val="20"/>
      </w:rPr>
    </w:pPr>
    <w:r>
      <w:rPr>
        <w:rFonts w:ascii="Times New Roman" w:hAnsi="Times New Roman"/>
        <w:sz w:val="20"/>
        <w:szCs w:val="20"/>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lang w:eastAsia="zh-CN"/>
      </w:rPr>
      <w:t xml:space="preserve">巡特警支队训练场地整治项目</w:t>
    </w:r>
    <w:r>
      <w:rPr>
        <w:rFonts w:hint="eastAsia" w:ascii="仿宋" w:hAnsi="仿宋" w:eastAsia="仿宋" w:cs="仿宋"/>
      </w:rPr>
      <w:t xml:space="preserve">竞争性磋商文件</w:t>
    </w:r>
    <w:r/>
  </w:p>
  <w:p>
    <w:pPr>
      <w:pStyle w:val="1296"/>
      <w:tabs>
        <w:tab w:val="center" w:pos="4153" w:leader="none"/>
        <w:tab w:val="right" w:pos="8306" w:leader="none"/>
      </w:tabs>
      <w:pBdr>
        <w:bottom w:val="none" w:color="000000" w:sz="0" w:space="0"/>
      </w:pBdr>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70"/>
      <w:jc w:val="center"/>
      <w:tabs>
        <w:tab w:val="right" w:pos="4153" w:leader="none"/>
        <w:tab w:val="left" w:pos="8306" w:leader="underscore"/>
      </w:tabs>
      <w:rPr>
        <w:rStyle w:val="1312"/>
        <w:sz w:val="18"/>
      </w:rPr>
    </w:pPr>
    <w:r>
      <w:rPr>
        <w:sz w:val="18"/>
      </w:rPr>
    </w:r>
    <w:r/>
  </w:p>
  <w:p>
    <w:pPr>
      <w:pStyle w:val="1075"/>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lang w:eastAsia="zh-CN"/>
      </w:rPr>
      <w:t xml:space="preserve">巡特警支队训练场地整治项目</w:t>
    </w:r>
    <w:r>
      <w:rPr>
        <w:rFonts w:hint="eastAsia" w:ascii="仿宋" w:hAnsi="仿宋" w:eastAsia="仿宋" w:cs="仿宋"/>
      </w:rPr>
      <w:t xml:space="preserve">竞争性磋商文件</w:t>
    </w:r>
    <w:r/>
  </w:p>
  <w:p>
    <w:pPr>
      <w:pStyle w:val="1270"/>
      <w:rPr>
        <w:rStyle w:val="1312"/>
        <w:sz w:val="18"/>
      </w:rPr>
    </w:pPr>
    <w:r>
      <w:rPr>
        <w:sz w:val="18"/>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lang w:eastAsia="zh-CN"/>
      </w:rPr>
      <w:t xml:space="preserve">巡特警支队训练场地整治项目</w:t>
    </w:r>
    <w:r>
      <w:rPr>
        <w:rFonts w:hint="eastAsia" w:ascii="仿宋" w:hAnsi="仿宋" w:eastAsia="仿宋" w:cs="仿宋"/>
      </w:rPr>
      <w:t xml:space="preserve">竞争性磋商文件</w:t>
    </w:r>
    <w:r/>
  </w:p>
  <w:p>
    <w:pPr>
      <w:pStyle w:val="1296"/>
      <w:tabs>
        <w:tab w:val="center" w:pos="4153" w:leader="none"/>
        <w:tab w:val="right" w:pos="8306" w:leader="none"/>
      </w:tabs>
      <w:pBdr>
        <w:bottom w:val="none" w:color="000000" w:sz="0" w:space="0"/>
      </w:pBdr>
    </w:pPr>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75"/>
      <w:jc w:val="right"/>
      <w:tabs>
        <w:tab w:val="center" w:pos="4153" w:leader="none"/>
        <w:tab w:val="clear" w:pos="7143" w:leader="none"/>
        <w:tab w:val="right" w:pos="8306" w:leader="none"/>
        <w:tab w:val="clear" w:pos="14287" w:leader="none"/>
      </w:tabs>
      <w:rPr>
        <w:rFonts w:ascii="仿宋" w:hAnsi="仿宋" w:eastAsia="仿宋" w:cs="仿宋"/>
      </w:rPr>
      <w:pBdr>
        <w:bottom w:val="single" w:color="auto" w:sz="4" w:space="0"/>
      </w:pBdr>
    </w:pPr>
    <w:r>
      <w:rPr>
        <w:rFonts w:hint="eastAsia" w:ascii="仿宋" w:hAnsi="仿宋" w:eastAsia="仿宋" w:cs="仿宋"/>
        <w:lang w:eastAsia="zh-CN"/>
      </w:rPr>
      <w:t xml:space="preserve">巡特警支队训练场地整治项目</w:t>
    </w:r>
    <w:r>
      <w:rPr>
        <w:rFonts w:hint="eastAsia" w:ascii="仿宋" w:hAnsi="仿宋" w:eastAsia="仿宋" w:cs="仿宋"/>
      </w:rPr>
      <w:t xml:space="preserve">竞争性磋商文件</w:t>
    </w:r>
    <w:r/>
  </w:p>
  <w:p>
    <w:pPr>
      <w:pStyle w:val="1270"/>
      <w:jc w:val="center"/>
      <w:tabs>
        <w:tab w:val="right" w:pos="4153" w:leader="none"/>
        <w:tab w:val="left" w:pos="8306" w:leader="underscore"/>
      </w:tabs>
      <w:rPr>
        <w:rStyle w:val="1312"/>
        <w:sz w:val="18"/>
      </w:rPr>
    </w:pPr>
    <w:r>
      <w:rPr>
        <w:sz w:val="18"/>
      </w:rPr>
    </w:r>
    <w:r/>
  </w:p>
  <w:p>
    <w:pPr>
      <w:pStyle w:val="1270"/>
      <w:rPr>
        <w:rStyle w:val="1312"/>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41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pStyle w:val="1276"/>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1027">
    <w:name w:val="Plain Table 1"/>
    <w:basedOn w:val="105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28">
    <w:name w:val="Plain Table 2"/>
    <w:basedOn w:val="105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29">
    <w:name w:val="Plain Table 3"/>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30">
    <w:name w:val="Plain Table 4"/>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31">
    <w:name w:val="Plain Table 5"/>
    <w:basedOn w:val="105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32">
    <w:name w:val="Grid Table 1 Light"/>
    <w:basedOn w:val="105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33">
    <w:name w:val="Grid Table 2"/>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34">
    <w:name w:val="Grid Table 3"/>
    <w:basedOn w:val="105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35">
    <w:name w:val="Grid Table 4"/>
    <w:basedOn w:val="105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name w:val="Grid Table 5 Dark"/>
    <w:basedOn w:val="105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037">
    <w:name w:val="Grid Table 6 Colorful"/>
    <w:basedOn w:val="105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038">
    <w:name w:val="Grid Table 7 Colorful"/>
    <w:basedOn w:val="105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039">
    <w:name w:val="List Table 1 Light"/>
    <w:basedOn w:val="105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name w:val="List Table 2"/>
    <w:basedOn w:val="105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041">
    <w:name w:val="List Table 3"/>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2">
    <w:name w:val="List Table 4"/>
    <w:basedOn w:val="105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43">
    <w:name w:val="List Table 5 Dark"/>
    <w:basedOn w:val="105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44">
    <w:name w:val="List Table 6 Colorful"/>
    <w:basedOn w:val="105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45">
    <w:name w:val="List Table 7 Colorful"/>
    <w:basedOn w:val="105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1046">
    <w:name w:val="TOC Heading"/>
    <w:uiPriority w:val="39"/>
    <w:unhideWhenUsed/>
  </w:style>
  <w:style w:type="paragraph" w:styleId="1047" w:default="1">
    <w:name w:val="Normal"/>
    <w:next w:val="1059"/>
    <w:uiPriority w:val="0"/>
    <w:qFormat/>
    <w:pPr>
      <w:jc w:val="both"/>
    </w:pPr>
    <w:rPr>
      <w:rFonts w:ascii="Calibri" w:hAnsi="Calibri" w:eastAsia="宋体" w:cs="Times New Roman"/>
      <w:sz w:val="21"/>
      <w:szCs w:val="21"/>
      <w:lang w:val="en-US" w:eastAsia="zh-CN" w:bidi="ar-SA"/>
    </w:rPr>
  </w:style>
  <w:style w:type="paragraph" w:styleId="1048">
    <w:name w:val="Heading 1"/>
    <w:basedOn w:val="1047"/>
    <w:next w:val="1047"/>
    <w:link w:val="1142"/>
    <w:uiPriority w:val="9"/>
    <w:qFormat/>
    <w:pPr>
      <w:keepLines/>
      <w:keepNext/>
      <w:spacing w:before="480" w:after="200"/>
      <w:outlineLvl w:val="0"/>
    </w:pPr>
    <w:rPr>
      <w:rFonts w:ascii="Arial" w:hAnsi="Arial" w:eastAsia="Arial" w:cs="Arial"/>
      <w:sz w:val="40"/>
      <w:szCs w:val="40"/>
    </w:rPr>
  </w:style>
  <w:style w:type="paragraph" w:styleId="1049">
    <w:name w:val="Heading 2"/>
    <w:basedOn w:val="1047"/>
    <w:next w:val="1047"/>
    <w:link w:val="1143"/>
    <w:uiPriority w:val="9"/>
    <w:unhideWhenUsed/>
    <w:qFormat/>
    <w:pPr>
      <w:keepLines/>
      <w:keepNext/>
      <w:spacing w:before="360" w:after="200"/>
      <w:outlineLvl w:val="1"/>
    </w:pPr>
    <w:rPr>
      <w:rFonts w:ascii="Arial" w:hAnsi="Arial" w:eastAsia="Arial" w:cs="Arial"/>
      <w:sz w:val="34"/>
    </w:rPr>
  </w:style>
  <w:style w:type="paragraph" w:styleId="1050">
    <w:name w:val="Heading 3"/>
    <w:basedOn w:val="1047"/>
    <w:next w:val="1047"/>
    <w:link w:val="1144"/>
    <w:uiPriority w:val="9"/>
    <w:unhideWhenUsed/>
    <w:qFormat/>
    <w:pPr>
      <w:keepLines/>
      <w:keepNext/>
      <w:spacing w:before="320" w:after="200"/>
      <w:outlineLvl w:val="2"/>
    </w:pPr>
    <w:rPr>
      <w:rFonts w:ascii="Arial" w:hAnsi="Arial" w:eastAsia="Arial" w:cs="Arial"/>
      <w:sz w:val="30"/>
      <w:szCs w:val="30"/>
    </w:rPr>
  </w:style>
  <w:style w:type="paragraph" w:styleId="1051">
    <w:name w:val="Heading 4"/>
    <w:basedOn w:val="1047"/>
    <w:next w:val="1047"/>
    <w:link w:val="1145"/>
    <w:uiPriority w:val="9"/>
    <w:unhideWhenUsed/>
    <w:qFormat/>
    <w:pPr>
      <w:keepLines/>
      <w:keepNext/>
      <w:spacing w:before="320" w:after="200"/>
      <w:outlineLvl w:val="3"/>
    </w:pPr>
    <w:rPr>
      <w:rFonts w:ascii="Arial" w:hAnsi="Arial" w:eastAsia="Arial" w:cs="Arial"/>
      <w:b/>
      <w:bCs/>
      <w:sz w:val="26"/>
      <w:szCs w:val="26"/>
    </w:rPr>
  </w:style>
  <w:style w:type="paragraph" w:styleId="1052">
    <w:name w:val="Heading 5"/>
    <w:basedOn w:val="1047"/>
    <w:next w:val="1047"/>
    <w:link w:val="1146"/>
    <w:uiPriority w:val="9"/>
    <w:unhideWhenUsed/>
    <w:qFormat/>
    <w:pPr>
      <w:keepLines/>
      <w:keepNext/>
      <w:spacing w:before="320" w:after="200"/>
      <w:outlineLvl w:val="4"/>
    </w:pPr>
    <w:rPr>
      <w:rFonts w:ascii="Arial" w:hAnsi="Arial" w:eastAsia="Arial" w:cs="Arial"/>
      <w:b/>
      <w:bCs/>
      <w:sz w:val="24"/>
      <w:szCs w:val="24"/>
    </w:rPr>
  </w:style>
  <w:style w:type="paragraph" w:styleId="1053">
    <w:name w:val="Heading 6"/>
    <w:basedOn w:val="1047"/>
    <w:next w:val="1047"/>
    <w:link w:val="1147"/>
    <w:uiPriority w:val="9"/>
    <w:unhideWhenUsed/>
    <w:qFormat/>
    <w:pPr>
      <w:keepLines/>
      <w:keepNext/>
      <w:spacing w:before="320" w:after="200"/>
      <w:outlineLvl w:val="5"/>
    </w:pPr>
    <w:rPr>
      <w:rFonts w:ascii="Arial" w:hAnsi="Arial" w:eastAsia="Arial" w:cs="Arial"/>
      <w:b/>
      <w:bCs/>
      <w:sz w:val="22"/>
      <w:szCs w:val="22"/>
    </w:rPr>
  </w:style>
  <w:style w:type="paragraph" w:styleId="1054">
    <w:name w:val="Heading 7"/>
    <w:basedOn w:val="1047"/>
    <w:next w:val="1047"/>
    <w:link w:val="1148"/>
    <w:uiPriority w:val="9"/>
    <w:unhideWhenUsed/>
    <w:qFormat/>
    <w:pPr>
      <w:keepLines/>
      <w:keepNext/>
      <w:spacing w:before="320" w:after="200"/>
      <w:outlineLvl w:val="6"/>
    </w:pPr>
    <w:rPr>
      <w:rFonts w:ascii="Arial" w:hAnsi="Arial" w:eastAsia="Arial" w:cs="Arial"/>
      <w:b/>
      <w:bCs/>
      <w:i/>
      <w:iCs/>
      <w:sz w:val="22"/>
      <w:szCs w:val="22"/>
    </w:rPr>
  </w:style>
  <w:style w:type="paragraph" w:styleId="1055">
    <w:name w:val="Heading 8"/>
    <w:basedOn w:val="1047"/>
    <w:next w:val="1047"/>
    <w:link w:val="1149"/>
    <w:uiPriority w:val="9"/>
    <w:unhideWhenUsed/>
    <w:qFormat/>
    <w:pPr>
      <w:keepLines/>
      <w:keepNext/>
      <w:spacing w:before="320" w:after="200"/>
      <w:outlineLvl w:val="7"/>
    </w:pPr>
    <w:rPr>
      <w:rFonts w:ascii="Arial" w:hAnsi="Arial" w:eastAsia="Arial" w:cs="Arial"/>
      <w:i/>
      <w:iCs/>
      <w:sz w:val="22"/>
      <w:szCs w:val="22"/>
    </w:rPr>
  </w:style>
  <w:style w:type="paragraph" w:styleId="1056">
    <w:name w:val="Heading 9"/>
    <w:basedOn w:val="1047"/>
    <w:next w:val="1047"/>
    <w:link w:val="1150"/>
    <w:uiPriority w:val="9"/>
    <w:unhideWhenUsed/>
    <w:qFormat/>
    <w:pPr>
      <w:keepLines/>
      <w:keepNext/>
      <w:spacing w:before="320" w:after="200"/>
      <w:outlineLvl w:val="8"/>
    </w:pPr>
    <w:rPr>
      <w:rFonts w:ascii="Arial" w:hAnsi="Arial" w:eastAsia="Arial" w:cs="Arial"/>
      <w:i/>
      <w:iCs/>
    </w:rPr>
  </w:style>
  <w:style w:type="character" w:styleId="1057" w:default="1">
    <w:name w:val="Default Paragraph Font"/>
    <w:uiPriority w:val="1"/>
    <w:semiHidden/>
    <w:unhideWhenUsed/>
    <w:qFormat/>
  </w:style>
  <w:style w:type="table" w:styleId="1058" w:default="1">
    <w:name w:val="Normal Table"/>
    <w:uiPriority w:val="99"/>
    <w:semiHidden/>
    <w:unhideWhenUsed/>
    <w:qFormat/>
    <w:tblPr>
      <w:tblCellMar>
        <w:left w:w="108" w:type="dxa"/>
        <w:top w:w="0" w:type="dxa"/>
        <w:right w:w="108" w:type="dxa"/>
        <w:bottom w:w="0" w:type="dxa"/>
      </w:tblCellMar>
    </w:tblPr>
  </w:style>
  <w:style w:type="paragraph" w:styleId="1059" w:customStyle="1">
    <w:name w:val="脚注文本11"/>
    <w:basedOn w:val="1047"/>
    <w:next w:val="1060"/>
    <w:uiPriority w:val="0"/>
    <w:unhideWhenUsed/>
    <w:qFormat/>
    <w:pPr>
      <w:spacing w:after="40"/>
    </w:pPr>
    <w:rPr>
      <w:sz w:val="18"/>
    </w:rPr>
  </w:style>
  <w:style w:type="paragraph" w:styleId="1060" w:customStyle="1">
    <w:name w:val="索引 511"/>
    <w:basedOn w:val="1047"/>
    <w:next w:val="1047"/>
    <w:uiPriority w:val="0"/>
    <w:qFormat/>
    <w:pPr>
      <w:ind w:left="798"/>
      <w:jc w:val="left"/>
    </w:pPr>
    <w:rPr>
      <w:rFonts w:ascii="Calibri" w:hAnsi="Calibri"/>
    </w:rPr>
  </w:style>
  <w:style w:type="paragraph" w:styleId="1061">
    <w:name w:val="toc 7"/>
    <w:basedOn w:val="1047"/>
    <w:next w:val="1047"/>
    <w:uiPriority w:val="39"/>
    <w:unhideWhenUsed/>
    <w:qFormat/>
    <w:pPr>
      <w:ind w:left="1701"/>
      <w:spacing w:after="57"/>
    </w:pPr>
  </w:style>
  <w:style w:type="paragraph" w:styleId="1062">
    <w:name w:val="Normal Indent"/>
    <w:basedOn w:val="1047"/>
    <w:uiPriority w:val="99"/>
    <w:qFormat/>
    <w:pPr>
      <w:ind w:firstLine="420"/>
      <w:jc w:val="left"/>
    </w:pPr>
    <w:rPr>
      <w:sz w:val="20"/>
    </w:rPr>
  </w:style>
  <w:style w:type="paragraph" w:styleId="1063">
    <w:name w:val="Caption"/>
    <w:basedOn w:val="1047"/>
    <w:next w:val="1047"/>
    <w:uiPriority w:val="35"/>
    <w:semiHidden/>
    <w:unhideWhenUsed/>
    <w:qFormat/>
    <w:pPr>
      <w:spacing w:line="276" w:lineRule="auto"/>
    </w:pPr>
    <w:rPr>
      <w:b/>
      <w:bCs/>
      <w:color w:val="4f81bd"/>
      <w:sz w:val="18"/>
      <w:szCs w:val="18"/>
    </w:rPr>
  </w:style>
  <w:style w:type="paragraph" w:styleId="1064">
    <w:name w:val="annotation text"/>
    <w:basedOn w:val="1047"/>
    <w:link w:val="1414"/>
    <w:uiPriority w:val="99"/>
    <w:semiHidden/>
    <w:unhideWhenUsed/>
    <w:qFormat/>
    <w:pPr>
      <w:jc w:val="left"/>
    </w:pPr>
  </w:style>
  <w:style w:type="paragraph" w:styleId="1065">
    <w:name w:val="Body Text"/>
    <w:basedOn w:val="1047"/>
    <w:link w:val="1416"/>
    <w:uiPriority w:val="0"/>
    <w:qFormat/>
    <w:pPr>
      <w:jc w:val="left"/>
      <w:spacing w:after="120"/>
    </w:pPr>
    <w:rPr>
      <w:rFonts w:ascii="Times New Roman" w:hAnsi="Times New Roman"/>
      <w:sz w:val="20"/>
      <w:szCs w:val="20"/>
    </w:rPr>
  </w:style>
  <w:style w:type="paragraph" w:styleId="1066">
    <w:name w:val="Body Text Indent"/>
    <w:basedOn w:val="1047"/>
    <w:next w:val="1067"/>
    <w:link w:val="1419"/>
    <w:uiPriority w:val="0"/>
    <w:qFormat/>
    <w:pPr>
      <w:ind w:left="420"/>
      <w:spacing w:after="120"/>
    </w:pPr>
  </w:style>
  <w:style w:type="paragraph" w:styleId="1067">
    <w:name w:val="envelope return"/>
    <w:basedOn w:val="1047"/>
    <w:uiPriority w:val="0"/>
    <w:qFormat/>
    <w:rPr>
      <w:rFonts w:ascii="Arial" w:hAnsi="Arial"/>
    </w:rPr>
  </w:style>
  <w:style w:type="paragraph" w:styleId="1068">
    <w:name w:val="Block Text"/>
    <w:basedOn w:val="1047"/>
    <w:uiPriority w:val="0"/>
    <w:qFormat/>
    <w:pPr>
      <w:ind w:left="256" w:right="6" w:firstLine="624"/>
    </w:pPr>
    <w:rPr>
      <w:rFonts w:eastAsia="仿宋_GB2312"/>
      <w:sz w:val="28"/>
      <w:szCs w:val="20"/>
    </w:rPr>
  </w:style>
  <w:style w:type="paragraph" w:styleId="1069">
    <w:name w:val="toc 5"/>
    <w:basedOn w:val="1047"/>
    <w:next w:val="1047"/>
    <w:uiPriority w:val="39"/>
    <w:unhideWhenUsed/>
    <w:qFormat/>
    <w:pPr>
      <w:ind w:left="1134"/>
      <w:spacing w:after="57"/>
    </w:pPr>
  </w:style>
  <w:style w:type="paragraph" w:styleId="1070">
    <w:name w:val="toc 3"/>
    <w:basedOn w:val="1047"/>
    <w:next w:val="1047"/>
    <w:uiPriority w:val="39"/>
    <w:unhideWhenUsed/>
    <w:qFormat/>
    <w:pPr>
      <w:ind w:left="567"/>
      <w:spacing w:after="57"/>
    </w:pPr>
  </w:style>
  <w:style w:type="paragraph" w:styleId="1071">
    <w:name w:val="toc 8"/>
    <w:basedOn w:val="1047"/>
    <w:next w:val="1047"/>
    <w:uiPriority w:val="39"/>
    <w:unhideWhenUsed/>
    <w:qFormat/>
    <w:pPr>
      <w:ind w:left="1984"/>
      <w:spacing w:after="57"/>
    </w:pPr>
  </w:style>
  <w:style w:type="paragraph" w:styleId="1072">
    <w:name w:val="endnote text"/>
    <w:basedOn w:val="1047"/>
    <w:link w:val="1268"/>
    <w:uiPriority w:val="99"/>
    <w:semiHidden/>
    <w:unhideWhenUsed/>
    <w:qFormat/>
    <w:rPr>
      <w:sz w:val="20"/>
    </w:rPr>
  </w:style>
  <w:style w:type="paragraph" w:styleId="1073">
    <w:name w:val="Balloon Text"/>
    <w:basedOn w:val="1047"/>
    <w:link w:val="1417"/>
    <w:uiPriority w:val="99"/>
    <w:semiHidden/>
    <w:unhideWhenUsed/>
    <w:qFormat/>
    <w:rPr>
      <w:sz w:val="18"/>
      <w:szCs w:val="18"/>
    </w:rPr>
  </w:style>
  <w:style w:type="paragraph" w:styleId="1074">
    <w:name w:val="Footer"/>
    <w:basedOn w:val="1047"/>
    <w:link w:val="1160"/>
    <w:uiPriority w:val="99"/>
    <w:unhideWhenUsed/>
    <w:qFormat/>
    <w:pPr>
      <w:tabs>
        <w:tab w:val="center" w:pos="7143" w:leader="none"/>
        <w:tab w:val="right" w:pos="14287" w:leader="none"/>
      </w:tabs>
    </w:pPr>
  </w:style>
  <w:style w:type="paragraph" w:styleId="1075">
    <w:name w:val="Header"/>
    <w:basedOn w:val="1047"/>
    <w:link w:val="1158"/>
    <w:uiPriority w:val="99"/>
    <w:unhideWhenUsed/>
    <w:qFormat/>
    <w:pPr>
      <w:tabs>
        <w:tab w:val="center" w:pos="7143" w:leader="none"/>
        <w:tab w:val="right" w:pos="14287" w:leader="none"/>
      </w:tabs>
    </w:pPr>
  </w:style>
  <w:style w:type="paragraph" w:styleId="1076">
    <w:name w:val="toc 1"/>
    <w:basedOn w:val="1047"/>
    <w:next w:val="1047"/>
    <w:uiPriority w:val="39"/>
    <w:unhideWhenUsed/>
    <w:qFormat/>
    <w:pPr>
      <w:spacing w:after="57"/>
    </w:pPr>
  </w:style>
  <w:style w:type="paragraph" w:styleId="1077">
    <w:name w:val="toc 4"/>
    <w:basedOn w:val="1047"/>
    <w:next w:val="1047"/>
    <w:uiPriority w:val="39"/>
    <w:unhideWhenUsed/>
    <w:qFormat/>
    <w:pPr>
      <w:ind w:left="850"/>
      <w:spacing w:after="57"/>
    </w:pPr>
  </w:style>
  <w:style w:type="paragraph" w:styleId="1078">
    <w:name w:val="Subtitle"/>
    <w:basedOn w:val="1047"/>
    <w:next w:val="1047"/>
    <w:link w:val="1153"/>
    <w:uiPriority w:val="11"/>
    <w:qFormat/>
    <w:pPr>
      <w:spacing w:before="200" w:after="200"/>
    </w:pPr>
    <w:rPr>
      <w:sz w:val="24"/>
      <w:szCs w:val="24"/>
    </w:rPr>
  </w:style>
  <w:style w:type="paragraph" w:styleId="1079">
    <w:name w:val="footnote text"/>
    <w:basedOn w:val="1047"/>
    <w:link w:val="1267"/>
    <w:uiPriority w:val="99"/>
    <w:semiHidden/>
    <w:unhideWhenUsed/>
    <w:qFormat/>
    <w:pPr>
      <w:spacing w:after="40"/>
    </w:pPr>
    <w:rPr>
      <w:sz w:val="18"/>
    </w:rPr>
  </w:style>
  <w:style w:type="paragraph" w:styleId="1080">
    <w:name w:val="toc 6"/>
    <w:basedOn w:val="1047"/>
    <w:next w:val="1047"/>
    <w:uiPriority w:val="39"/>
    <w:unhideWhenUsed/>
    <w:qFormat/>
    <w:pPr>
      <w:ind w:left="1417"/>
      <w:spacing w:after="57"/>
    </w:pPr>
  </w:style>
  <w:style w:type="paragraph" w:styleId="1081">
    <w:name w:val="table of figures"/>
    <w:basedOn w:val="1047"/>
    <w:next w:val="1047"/>
    <w:uiPriority w:val="99"/>
    <w:unhideWhenUsed/>
    <w:qFormat/>
  </w:style>
  <w:style w:type="paragraph" w:styleId="1082">
    <w:name w:val="toc 2"/>
    <w:basedOn w:val="1047"/>
    <w:next w:val="1047"/>
    <w:uiPriority w:val="39"/>
    <w:unhideWhenUsed/>
    <w:qFormat/>
    <w:pPr>
      <w:ind w:left="283"/>
      <w:spacing w:after="57"/>
    </w:pPr>
  </w:style>
  <w:style w:type="paragraph" w:styleId="1083">
    <w:name w:val="toc 9"/>
    <w:basedOn w:val="1047"/>
    <w:next w:val="1047"/>
    <w:uiPriority w:val="39"/>
    <w:unhideWhenUsed/>
    <w:qFormat/>
    <w:pPr>
      <w:ind w:left="2268"/>
      <w:spacing w:after="57"/>
    </w:pPr>
  </w:style>
  <w:style w:type="paragraph" w:styleId="1084">
    <w:name w:val="Normal (Web)"/>
    <w:basedOn w:val="1047"/>
    <w:uiPriority w:val="99"/>
    <w:semiHidden/>
    <w:unhideWhenUsed/>
    <w:qFormat/>
    <w:rPr>
      <w:rFonts w:ascii="Times New Roman" w:hAnsi="Times New Roman"/>
      <w:sz w:val="24"/>
      <w:szCs w:val="24"/>
    </w:rPr>
  </w:style>
  <w:style w:type="paragraph" w:styleId="1085">
    <w:name w:val="Title"/>
    <w:basedOn w:val="1047"/>
    <w:next w:val="1047"/>
    <w:link w:val="1152"/>
    <w:uiPriority w:val="10"/>
    <w:qFormat/>
    <w:pPr>
      <w:contextualSpacing/>
      <w:spacing w:before="300" w:after="200"/>
    </w:pPr>
    <w:rPr>
      <w:sz w:val="48"/>
      <w:szCs w:val="48"/>
    </w:rPr>
  </w:style>
  <w:style w:type="paragraph" w:styleId="1086">
    <w:name w:val="annotation subject"/>
    <w:basedOn w:val="1064"/>
    <w:next w:val="1064"/>
    <w:link w:val="1413"/>
    <w:uiPriority w:val="0"/>
    <w:qFormat/>
    <w:rPr>
      <w:rFonts w:ascii="Times New Roman" w:hAnsi="Times New Roman"/>
      <w:b/>
      <w:bCs/>
      <w:sz w:val="24"/>
      <w:szCs w:val="24"/>
    </w:rPr>
  </w:style>
  <w:style w:type="table" w:styleId="1087">
    <w:name w:val="Table Grid"/>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1088">
    <w:name w:val="endnote reference"/>
    <w:uiPriority w:val="99"/>
    <w:semiHidden/>
    <w:unhideWhenUsed/>
    <w:qFormat/>
    <w:rPr>
      <w:vertAlign w:val="superscript"/>
    </w:rPr>
  </w:style>
  <w:style w:type="character" w:styleId="1089">
    <w:name w:val="Hyperlink"/>
    <w:uiPriority w:val="99"/>
    <w:unhideWhenUsed/>
    <w:qFormat/>
    <w:rPr>
      <w:color w:val="0000ff"/>
      <w:u w:val="single"/>
    </w:rPr>
  </w:style>
  <w:style w:type="character" w:styleId="1090">
    <w:name w:val="annotation reference"/>
    <w:basedOn w:val="1057"/>
    <w:uiPriority w:val="99"/>
    <w:semiHidden/>
    <w:unhideWhenUsed/>
    <w:qFormat/>
    <w:rPr>
      <w:sz w:val="21"/>
      <w:szCs w:val="21"/>
    </w:rPr>
  </w:style>
  <w:style w:type="character" w:styleId="1091">
    <w:name w:val="footnote reference"/>
    <w:uiPriority w:val="99"/>
    <w:unhideWhenUsed/>
    <w:qFormat/>
    <w:rPr>
      <w:vertAlign w:val="superscript"/>
    </w:rPr>
  </w:style>
  <w:style w:type="paragraph" w:styleId="1092" w:customStyle="1">
    <w:name w:val="目录 112"/>
    <w:basedOn w:val="1047"/>
    <w:next w:val="1047"/>
    <w:uiPriority w:val="39"/>
    <w:unhideWhenUsed/>
    <w:qFormat/>
    <w:pPr>
      <w:spacing w:after="57"/>
    </w:pPr>
  </w:style>
  <w:style w:type="paragraph" w:styleId="1093" w:customStyle="1">
    <w:name w:val="一级条标题"/>
    <w:basedOn w:val="1094"/>
    <w:next w:val="1095"/>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94" w:customStyle="1">
    <w:name w:val="章标题"/>
    <w:next w:val="104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95" w:customStyle="1">
    <w:name w:val="段"/>
    <w:basedOn w:val="1096"/>
    <w:next w:val="1047"/>
    <w:uiPriority w:val="0"/>
    <w:qFormat/>
    <w:pPr>
      <w:ind w:firstLine="200"/>
    </w:pPr>
  </w:style>
  <w:style w:type="paragraph" w:styleId="1096" w:customStyle="1">
    <w:name w:val="正文1"/>
    <w:basedOn w:val="1097"/>
    <w:next w:val="1099"/>
    <w:uiPriority w:val="0"/>
    <w:qFormat/>
    <w:pPr>
      <w:spacing w:line="360" w:lineRule="atLeast"/>
    </w:pPr>
    <w:rPr>
      <w:rFonts w:ascii="宋体"/>
      <w:sz w:val="24"/>
    </w:rPr>
  </w:style>
  <w:style w:type="paragraph" w:styleId="1097" w:customStyle="1">
    <w:name w:val="正文12"/>
    <w:next w:val="1098"/>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1098" w:customStyle="1">
    <w:name w:val="正文文本111"/>
    <w:next w:val="1097"/>
    <w:uiPriority w:val="0"/>
    <w:qFormat/>
    <w:pPr>
      <w:spacing w:after="200" w:line="276" w:lineRule="auto"/>
    </w:pPr>
    <w:rPr>
      <w:rFonts w:ascii="Times New Roman" w:hAnsi="Times New Roman" w:eastAsia="宋体" w:cs="Times New Roman"/>
      <w:color w:val="0563c1"/>
      <w:u w:val="single"/>
      <w:lang w:val="en-US" w:eastAsia="zh-CN" w:bidi="ar-SA"/>
    </w:rPr>
  </w:style>
  <w:style w:type="paragraph" w:styleId="1099" w:customStyle="1">
    <w:name w:val="正文文本1"/>
    <w:basedOn w:val="1096"/>
    <w:next w:val="1047"/>
    <w:uiPriority w:val="0"/>
    <w:qFormat/>
    <w:rPr>
      <w:rFonts w:eastAsia="黑体"/>
      <w:b/>
      <w:bCs/>
      <w:spacing w:val="20"/>
      <w:sz w:val="56"/>
    </w:rPr>
  </w:style>
  <w:style w:type="paragraph" w:styleId="1100" w:customStyle="1">
    <w:name w:val="脚注文本1"/>
    <w:basedOn w:val="1097"/>
    <w:next w:val="1101"/>
    <w:uiPriority w:val="0"/>
    <w:qFormat/>
    <w:rPr>
      <w:sz w:val="18"/>
      <w:szCs w:val="18"/>
    </w:rPr>
  </w:style>
  <w:style w:type="paragraph" w:styleId="1101" w:customStyle="1">
    <w:name w:val="索引 51"/>
    <w:basedOn w:val="1097"/>
    <w:next w:val="1096"/>
    <w:uiPriority w:val="0"/>
    <w:qFormat/>
    <w:pPr>
      <w:ind w:left="798"/>
    </w:pPr>
  </w:style>
  <w:style w:type="paragraph" w:styleId="1102" w:customStyle="1">
    <w:name w:val="Default"/>
    <w:uiPriority w:val="0"/>
    <w:qFormat/>
    <w:pPr>
      <w:widowControl w:val="off"/>
    </w:pPr>
    <w:rPr>
      <w:rFonts w:ascii="宋体" w:hAnsi="宋体" w:eastAsia="Malgun Gothic" w:cs="Times New Roman"/>
      <w:color w:val="000000"/>
      <w:sz w:val="24"/>
      <w:szCs w:val="24"/>
      <w:lang w:val="en-US" w:eastAsia="zh-CN" w:bidi="ar-SA"/>
    </w:rPr>
  </w:style>
  <w:style w:type="paragraph" w:styleId="1103" w:customStyle="1">
    <w:name w:val="索引 41"/>
    <w:basedOn w:val="1096"/>
    <w:next w:val="1096"/>
    <w:uiPriority w:val="0"/>
    <w:unhideWhenUsed/>
    <w:qFormat/>
    <w:pPr>
      <w:ind w:left="600"/>
      <w:jc w:val="both"/>
    </w:pPr>
    <w:rPr>
      <w:rFonts w:ascii="Calibri"/>
      <w:sz w:val="22"/>
    </w:rPr>
  </w:style>
  <w:style w:type="table" w:styleId="1104" w:customStyle="1">
    <w:name w:val="无格式表格 11"/>
    <w:basedOn w:val="1058"/>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Pr>
    <w:tblStylePr w:type="band1Horz">
      <w:tcPr>
        <w:shd w:val="clear" w:color="f2f2f2" w:fill="f2f2f2"/>
      </w:tcPr>
    </w:tblStylePr>
    <w:tblStylePr w:type="band1Vert">
      <w:tcPr>
        <w:shd w:val="clear" w:color="f2f2f2" w:fill="f2f2f2"/>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105" w:customStyle="1">
    <w:name w:val="无格式表格 21"/>
    <w:basedOn w:val="1058"/>
    <w:uiPriority w:val="59"/>
    <w:qFormat/>
    <w:tblPr>
      <w:tblBorders>
        <w:top w:val="single" w:color="000000" w:sz="4" w:space="0"/>
        <w:left w:val="none" w:color="000000" w:sz="4" w:space="0"/>
        <w:bottom w:val="single" w:color="000000" w:sz="4" w:space="0"/>
        <w:right w:val="none" w:color="000000" w:sz="4" w:space="0"/>
      </w:tblBorders>
    </w:tblPr>
    <w:tblStylePr w:type="band1Horz">
      <w:tcPr>
        <w:tcBorders>
          <w:top w:val="single" w:color="000000" w:sz="4" w:space="0"/>
          <w:bottom w:val="single" w:color="000000" w:sz="4" w:space="0"/>
        </w:tcBorders>
      </w:tcPr>
    </w:tblStylePr>
    <w:tblStylePr w:type="band1Vert">
      <w:tcPr>
        <w:tcBorders>
          <w:left w:val="single" w:color="000000" w:sz="4" w:space="0"/>
          <w:right w:val="single" w:color="000000" w:sz="4" w:space="0"/>
        </w:tcBorders>
      </w:tcPr>
    </w:tblStylePr>
    <w:tblStylePr w:type="band2Vert">
      <w:tcPr>
        <w:tcBorders>
          <w:left w:val="single" w:color="000000" w:sz="4" w:space="0"/>
          <w:right w:val="single" w:color="000000"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sz="4" w:space="0"/>
          <w:bottom w:val="single" w:color="000000"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106" w:customStyle="1">
    <w:name w:val="无格式表格 31"/>
    <w:basedOn w:val="10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107" w:customStyle="1">
    <w:name w:val="无格式表格 41"/>
    <w:basedOn w:val="10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108" w:customStyle="1">
    <w:name w:val="无格式表格 51"/>
    <w:basedOn w:val="1058"/>
    <w:uiPriority w:val="99"/>
    <w:qFormat/>
    <w:tblPr>
      <w:tblCellMar>
        <w:left w:w="0" w:type="dxa"/>
        <w:right w:w="0" w:type="dxa"/>
      </w:tblCellMar>
    </w:tblPr>
    <w:tblStylePr w:type="band1Horz">
      <w:rPr>
        <w:rFonts w:ascii="Arial" w:hAnsi="Arial"/>
        <w:color w:val="404040"/>
        <w:sz w:val="22"/>
      </w:rPr>
      <w:tcPr>
        <w:shd w:val="clear" w:color="f2f2f2" w:fill="f2f2f2"/>
      </w:tcPr>
    </w:tblStylePr>
    <w:tblStylePr w:type="band1Vert">
      <w:rPr>
        <w:rFonts w:ascii="Arial" w:hAnsi="Arial"/>
        <w:color w:val="404040"/>
        <w:sz w:val="22"/>
      </w:rPr>
      <w:tcPr>
        <w:shd w:val="clear" w:color="f2f2f2" w:fill="f2f2f2"/>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109" w:customStyle="1">
    <w:name w:val="网格表 1 浅色1"/>
    <w:basedOn w:val="1058"/>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right w:w="0" w:type="dxa"/>
      </w:tblCellMar>
    </w:tblPr>
    <w:tblStylePr w:type="band1Horz">
      <w:rPr>
        <w:rFonts w:ascii="Arial" w:hAnsi="Arial"/>
        <w:color w:val="404040"/>
        <w:sz w:val="22"/>
      </w:rPr>
      <w:tcPr>
        <w:tcBorders>
          <w:top w:val="single" w:color="989898" w:sz="4" w:space="0"/>
          <w:left w:val="single" w:color="989898" w:sz="4" w:space="0"/>
          <w:bottom w:val="single" w:color="989898" w:sz="4" w:space="0"/>
          <w:right w:val="single" w:color="989898" w:sz="4" w:space="0"/>
        </w:tcBorders>
      </w:tcPr>
    </w:tblStylePr>
    <w:tblStylePr w:type="firstCol">
      <w:rPr>
        <w:b/>
        <w:color w:val="404040"/>
      </w:rPr>
    </w:tblStylePr>
    <w:tblStylePr w:type="firstRow">
      <w:rPr>
        <w:b/>
        <w:color w:val="404040"/>
      </w:rPr>
      <w:tcPr>
        <w:tcBorders>
          <w:bottom w:val="single" w:color="6A6A6A" w:sz="12" w:space="0"/>
        </w:tcBorders>
      </w:tcPr>
    </w:tblStylePr>
    <w:tblStylePr w:type="lastCol">
      <w:rPr>
        <w:b/>
        <w:color w:val="404040"/>
      </w:rPr>
    </w:tblStylePr>
    <w:tblStylePr w:type="lastRow">
      <w:rPr>
        <w:b/>
        <w:color w:val="404040"/>
      </w:rPr>
    </w:tblStylePr>
  </w:style>
  <w:style w:type="table" w:styleId="1110" w:customStyle="1">
    <w:name w:val="网格表 21"/>
    <w:basedOn w:val="105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sz="4" w:space="0"/>
          <w:left w:val="none" w:color="000000" w:sz="4" w:space="0"/>
          <w:bottom w:val="none" w:color="000000" w:sz="4" w:space="0"/>
          <w:right w:val="none" w:color="000000" w:sz="4" w:space="0"/>
        </w:tcBorders>
      </w:tcPr>
    </w:tblStylePr>
  </w:style>
  <w:style w:type="table" w:styleId="1111" w:customStyle="1">
    <w:name w:val="网格表 31"/>
    <w:basedOn w:val="1058"/>
    <w:uiPriority w:val="99"/>
    <w:qFormat/>
    <w:tblPr>
      <w:tblBorders>
        <w:bottom w:val="single" w:color="6A6A6A" w:sz="4" w:space="0"/>
        <w:insideH w:val="single" w:color="6A6A6A" w:sz="4" w:space="0"/>
        <w:insideV w:val="single" w:color="6A6A6A"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12" w:customStyle="1">
    <w:name w:val="网格表 41"/>
    <w:basedOn w:val="1058"/>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right w:w="0" w:type="dxa"/>
      </w:tblCellMar>
    </w:tblPr>
    <w:tblStylePr w:type="band1Horz">
      <w:rPr>
        <w:rFonts w:ascii="Arial" w:hAnsi="Arial"/>
        <w:color w:val="404040"/>
        <w:sz w:val="22"/>
      </w:rPr>
      <w:tcPr>
        <w:shd w:val="clear" w:color="cbcbcb" w:fill="cbcbcb"/>
      </w:tcPr>
    </w:tblStylePr>
    <w:tblStylePr w:type="band1Vert">
      <w:rPr>
        <w:rFonts w:ascii="Arial" w:hAnsi="Arial"/>
        <w:color w:val="404040"/>
        <w:sz w:val="22"/>
      </w:rPr>
      <w:tcPr>
        <w:shd w:val="clear" w:color="cbcbcb" w:fill="cbcbcb"/>
      </w:tcPr>
    </w:tblStylePr>
    <w:tblStylePr w:type="firstCol">
      <w:rPr>
        <w:b/>
        <w:color w:val="404040"/>
      </w:rPr>
    </w:tblStylePr>
    <w:tblStylePr w:type="firstRow">
      <w:rPr>
        <w:rFonts w:ascii="Arial" w:hAnsi="Arial"/>
        <w:b/>
        <w:color w:val="ffffff"/>
        <w:sz w:val="22"/>
      </w:rPr>
      <w:tcPr>
        <w:shd w:val="clear" w:color="000000" w:fill="000000"/>
        <w:tcBorders>
          <w:top w:val="single" w:color="000000" w:sz="4" w:space="0"/>
          <w:left w:val="single" w:color="000000" w:sz="4" w:space="0"/>
          <w:bottom w:val="single" w:color="000000" w:sz="4" w:space="0"/>
          <w:right w:val="single" w:color="000000" w:sz="4" w:space="0"/>
        </w:tcBorders>
      </w:tcPr>
    </w:tblStylePr>
    <w:tblStylePr w:type="lastCol">
      <w:rPr>
        <w:b/>
        <w:color w:val="404040"/>
      </w:rPr>
    </w:tblStylePr>
    <w:tblStylePr w:type="lastRow">
      <w:rPr>
        <w:b/>
        <w:color w:val="404040"/>
      </w:rPr>
      <w:tcPr>
        <w:tcBorders>
          <w:top w:val="single" w:color="000000" w:sz="4" w:space="0"/>
        </w:tcBorders>
      </w:tcPr>
    </w:tblStylePr>
  </w:style>
  <w:style w:type="table" w:styleId="1113" w:customStyle="1">
    <w:name w:val="网格表 5 深色1"/>
    <w:basedOn w:val="1058"/>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right w:w="0" w:type="dxa"/>
      </w:tblCellMar>
    </w:tblPr>
    <w:tblStylePr w:type="band1Horz">
      <w:tcPr>
        <w:shd w:val="clear" w:color="8a8a8a" w:fill="8a8a8a"/>
      </w:tcPr>
    </w:tblStylePr>
    <w:tblStylePr w:type="band1Vert">
      <w:tcPr>
        <w:shd w:val="clear" w:color="8a8a8a" w:fill="8a8a8a"/>
      </w:tcPr>
    </w:tblStylePr>
    <w:tblStylePr w:type="firstCol">
      <w:rPr>
        <w:rFonts w:ascii="Arial" w:hAnsi="Arial"/>
        <w:b/>
        <w:color w:val="ffffff"/>
        <w:sz w:val="22"/>
      </w:rPr>
      <w:tcPr>
        <w:shd w:val="clear" w:color="000000" w:fill="000000"/>
      </w:tcPr>
    </w:tblStylePr>
    <w:tblStylePr w:type="firstRow">
      <w:rPr>
        <w:rFonts w:ascii="Arial" w:hAnsi="Arial"/>
        <w:b/>
        <w:color w:val="ffffff"/>
        <w:sz w:val="22"/>
      </w:rPr>
      <w:tcPr>
        <w:shd w:val="clear" w:color="000000" w:fill="000000"/>
      </w:tcPr>
    </w:tblStylePr>
    <w:tblStylePr w:type="lastCol">
      <w:rPr>
        <w:rFonts w:ascii="Arial" w:hAnsi="Arial"/>
        <w:b/>
        <w:color w:val="ffffff"/>
        <w:sz w:val="22"/>
      </w:rPr>
      <w:tcPr>
        <w:shd w:val="clear" w:color="000000" w:fill="000000"/>
      </w:tcPr>
    </w:tblStylePr>
    <w:tblStylePr w:type="lastRow">
      <w:rPr>
        <w:rFonts w:ascii="Arial" w:hAnsi="Arial"/>
        <w:b/>
        <w:color w:val="ffffff"/>
        <w:sz w:val="22"/>
      </w:rPr>
      <w:tcPr>
        <w:shd w:val="clear" w:color="000000" w:fill="000000"/>
        <w:tcBorders>
          <w:top w:val="single" w:color="FFFFFF" w:sz="4" w:space="0"/>
        </w:tcBorders>
      </w:tcPr>
    </w:tblStylePr>
  </w:style>
  <w:style w:type="table" w:styleId="1114" w:customStyle="1">
    <w:name w:val="网格表 6 彩色1"/>
    <w:basedOn w:val="1058"/>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cbcbcb" w:fill="cbcbcb"/>
      </w:tcPr>
    </w:tblStylePr>
    <w:tblStylePr w:type="band1Vert">
      <w:tcPr>
        <w:shd w:val="clear" w:color="cbcbcb" w:fill="cbcbcb"/>
      </w:tcPr>
    </w:tblStylePr>
    <w:tblStylePr w:type="band2Horz">
      <w:rPr>
        <w:rFonts w:ascii="Arial" w:hAnsi="Arial"/>
        <w:color w:val="7f7f7f"/>
        <w:sz w:val="22"/>
      </w:rPr>
    </w:tblStylePr>
    <w:tblStylePr w:type="firstCol">
      <w:rPr>
        <w:b/>
        <w:color w:val="7f7f7f"/>
      </w:rPr>
    </w:tblStylePr>
    <w:tblStylePr w:type="firstRow">
      <w:rPr>
        <w:b/>
        <w:color w:val="7f7f7f"/>
      </w:rPr>
      <w:tcPr>
        <w:tcBorders>
          <w:bottom w:val="single" w:color="7F7F7F" w:sz="12" w:space="0"/>
        </w:tcBorders>
      </w:tcPr>
    </w:tblStylePr>
    <w:tblStylePr w:type="lastCol">
      <w:rPr>
        <w:b/>
        <w:color w:val="7f7f7f"/>
      </w:rPr>
    </w:tblStylePr>
    <w:tblStylePr w:type="lastRow">
      <w:rPr>
        <w:b/>
        <w:color w:val="7f7f7f"/>
      </w:rPr>
    </w:tblStylePr>
  </w:style>
  <w:style w:type="table" w:styleId="1115" w:customStyle="1">
    <w:name w:val="网格表 7 彩色1"/>
    <w:basedOn w:val="1058"/>
    <w:uiPriority w:val="99"/>
    <w:qFormat/>
    <w:tblPr>
      <w:tblBorders>
        <w:bottom w:val="single" w:color="7F7F7F" w:sz="4" w:space="0"/>
        <w:right w:val="single" w:color="7F7F7F" w:sz="4" w:space="0"/>
        <w:insideH w:val="single" w:color="7F7F7F" w:sz="4" w:space="0"/>
        <w:insideV w:val="single" w:color="7F7F7F" w:sz="4" w:space="0"/>
      </w:tblBorders>
      <w:tblCellMar>
        <w:left w:w="0" w:type="dxa"/>
        <w:right w:w="0" w:type="dxa"/>
      </w:tblCellMar>
    </w:tblPr>
    <w:tblStylePr w:type="band1Horz">
      <w:rPr>
        <w:rFonts w:ascii="Arial" w:hAnsi="Arial"/>
        <w:color w:val="7f7f7f"/>
        <w:sz w:val="22"/>
      </w:rPr>
      <w:tcPr>
        <w:shd w:val="clear" w:color="f2f2f2" w:fill="f2f2f2"/>
      </w:tcPr>
    </w:tblStylePr>
    <w:tblStylePr w:type="band1Vert">
      <w:tcPr>
        <w:shd w:val="clear" w:color="f2f2f2" w:fill="f2f2f2"/>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b/>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b/>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table" w:styleId="1116" w:customStyle="1">
    <w:name w:val="清单表 1 浅色1"/>
    <w:basedOn w:val="1058"/>
    <w:uiPriority w:val="99"/>
    <w:qFormat/>
    <w:tblPr>
      <w:tblCellMar>
        <w:left w:w="0" w:type="dxa"/>
        <w:right w:w="0" w:type="dxa"/>
      </w:tblCellMar>
    </w:tblPr>
    <w:tblStylePr w:type="band1Horz">
      <w:tcPr>
        <w:shd w:val="clear" w:color="bfbfbf" w:fill="bfbfbf"/>
      </w:tcPr>
    </w:tblStylePr>
    <w:tblStylePr w:type="band1Vert">
      <w:tcPr>
        <w:shd w:val="clear" w:color="bfbfbf" w:fill="bfbfbf"/>
      </w:tcPr>
    </w:tblStylePr>
    <w:tblStylePr w:type="firstCol">
      <w:rPr>
        <w:b/>
        <w:color w:val="404040"/>
      </w:rPr>
    </w:tblStylePr>
    <w:tblStylePr w:type="firstRow">
      <w:rPr>
        <w:b/>
        <w:color w:val="404040"/>
      </w:rPr>
      <w:tcPr>
        <w:tcBorders>
          <w:top w:val="none" w:color="000000" w:sz="4" w:space="0"/>
          <w:left w:val="none" w:color="000000" w:sz="4" w:space="0"/>
          <w:bottom w:val="single" w:color="000000" w:sz="4" w:space="0"/>
          <w:right w:val="none" w:color="000000" w:sz="4" w:space="0"/>
        </w:tcBorders>
      </w:tcPr>
    </w:tblStylePr>
    <w:tblStylePr w:type="lastCol">
      <w:rPr>
        <w:b/>
        <w:color w:val="404040"/>
      </w:rPr>
    </w:tblStylePr>
    <w:tblStylePr w:type="lastRow">
      <w:rPr>
        <w:b/>
        <w:color w:val="404040"/>
      </w:rPr>
      <w:tcPr>
        <w:tcBorders>
          <w:top w:val="single" w:color="000000" w:sz="4" w:space="0"/>
          <w:left w:val="none" w:color="000000" w:sz="4" w:space="0"/>
          <w:bottom w:val="none" w:color="000000" w:sz="4" w:space="0"/>
          <w:right w:val="none" w:color="000000" w:sz="4" w:space="0"/>
        </w:tcBorders>
      </w:tcPr>
    </w:tblStylePr>
  </w:style>
  <w:style w:type="table" w:styleId="1117" w:customStyle="1">
    <w:name w:val="清单表 21"/>
    <w:basedOn w:val="1058"/>
    <w:uiPriority w:val="99"/>
    <w:qFormat/>
    <w:tblPr>
      <w:tblBorders>
        <w:top w:val="single" w:color="6F6F6F" w:sz="4" w:space="0"/>
        <w:bottom w:val="single" w:color="6F6F6F" w:sz="4" w:space="0"/>
        <w:insideH w:val="single" w:color="6F6F6F"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rFonts w:ascii="Arial" w:hAnsi="Arial"/>
        <w:b/>
        <w:color w:val="404040"/>
        <w:sz w:val="22"/>
      </w:rPr>
    </w:tblStylePr>
    <w:tblStylePr w:type="fir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sz="4" w:space="0"/>
          <w:left w:val="none" w:color="000000" w:sz="4" w:space="0"/>
          <w:bottom w:val="single" w:color="6F6F6F" w:sz="4" w:space="0"/>
          <w:right w:val="none" w:color="000000" w:sz="4" w:space="0"/>
        </w:tcBorders>
      </w:tcPr>
    </w:tblStylePr>
  </w:style>
  <w:style w:type="table" w:styleId="1118" w:customStyle="1">
    <w:name w:val="清单表 31"/>
    <w:basedOn w:val="1058"/>
    <w:uiPriority w:val="99"/>
    <w:qFormat/>
    <w:tblPr>
      <w:tblBorders>
        <w:top w:val="single" w:color="000000" w:sz="4" w:space="0"/>
        <w:left w:val="single" w:color="000000" w:sz="4" w:space="0"/>
        <w:bottom w:val="single" w:color="000000" w:sz="4" w:space="0"/>
        <w:right w:val="single" w:color="000000" w:sz="4" w:space="0"/>
      </w:tblBorders>
      <w:tblCellMar>
        <w:left w:w="0" w:type="dxa"/>
        <w:right w:w="0" w:type="dxa"/>
      </w:tblCellMar>
    </w:tblPr>
    <w:tblStylePr w:type="band1Horz">
      <w:rPr>
        <w:rFonts w:ascii="Arial" w:hAnsi="Arial"/>
        <w:color w:val="404040"/>
        <w:sz w:val="22"/>
      </w:rPr>
      <w:tcPr>
        <w:tcBorders>
          <w:top w:val="single" w:color="000000" w:sz="4" w:space="0"/>
          <w:bottom w:val="single" w:color="000000" w:sz="4" w:space="0"/>
        </w:tcBorders>
      </w:tcPr>
    </w:tblStylePr>
    <w:tblStylePr w:type="band1Vert">
      <w:rPr>
        <w:rFonts w:ascii="Arial" w:hAnsi="Arial"/>
        <w:color w:val="404040"/>
        <w:sz w:val="22"/>
      </w:rPr>
      <w:tcPr>
        <w:tcBorders>
          <w:left w:val="single" w:color="000000" w:sz="4" w:space="0"/>
          <w:right w:val="single" w:color="000000" w:sz="4" w:space="0"/>
        </w:tcBorders>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19" w:customStyle="1">
    <w:name w:val="清单表 41"/>
    <w:basedOn w:val="1058"/>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right w:w="0" w:type="dxa"/>
      </w:tblCellMar>
    </w:tblPr>
    <w:tblStylePr w:type="band1Horz">
      <w:rPr>
        <w:rFonts w:ascii="Arial" w:hAnsi="Arial"/>
        <w:color w:val="404040"/>
        <w:sz w:val="22"/>
      </w:rPr>
      <w:tcPr>
        <w:shd w:val="clear" w:color="bfbfbf" w:fill="bfbfbf"/>
      </w:tcPr>
    </w:tblStylePr>
    <w:tblStylePr w:type="band1Vert">
      <w:rPr>
        <w:rFonts w:ascii="Arial" w:hAnsi="Arial"/>
        <w:color w:val="404040"/>
        <w:sz w:val="22"/>
      </w:rPr>
      <w:tcPr>
        <w:shd w:val="clear" w:color="bfbfbf" w:fill="bfbfbf"/>
      </w:tcPr>
    </w:tblStylePr>
    <w:tblStylePr w:type="firstCol">
      <w:rPr>
        <w:b/>
        <w:color w:val="404040"/>
      </w:rPr>
    </w:tblStylePr>
    <w:tblStylePr w:type="firstRow">
      <w:rPr>
        <w:rFonts w:ascii="Arial" w:hAnsi="Arial"/>
        <w:b/>
        <w:color w:val="ffffff"/>
        <w:sz w:val="22"/>
      </w:rPr>
      <w:tcPr>
        <w:shd w:val="clear" w:color="000000" w:fill="000000"/>
      </w:tcPr>
    </w:tblStylePr>
    <w:tblStylePr w:type="lastCol">
      <w:rPr>
        <w:b/>
        <w:color w:val="404040"/>
      </w:rPr>
    </w:tblStylePr>
    <w:tblStylePr w:type="lastRow">
      <w:rPr>
        <w:b/>
        <w:color w:val="404040"/>
      </w:rPr>
    </w:tblStylePr>
  </w:style>
  <w:style w:type="table" w:styleId="1120" w:customStyle="1">
    <w:name w:val="清单表 5 深色1"/>
    <w:basedOn w:val="1058"/>
    <w:uiPriority w:val="99"/>
    <w:qFormat/>
    <w:tblPr>
      <w:tblBorders>
        <w:top w:val="single" w:color="7F7F7F" w:sz="32" w:space="0"/>
        <w:left w:val="single" w:color="7F7F7F" w:sz="32" w:space="0"/>
        <w:bottom w:val="single" w:color="7F7F7F" w:sz="32" w:space="0"/>
        <w:right w:val="single" w:color="7F7F7F" w:sz="32" w:space="0"/>
      </w:tblBorders>
      <w:tblCellMar>
        <w:left w:w="0" w:type="dxa"/>
        <w:right w:w="0" w:type="dxa"/>
      </w:tblCellMar>
    </w:tblPr>
    <w:tblStylePr w:type="band1Horz">
      <w:tcPr>
        <w:shd w:val="clear" w:color="7f7f7f" w:fill="7f7f7f"/>
        <w:tcBorders>
          <w:top w:val="single" w:color="FFFFFF" w:sz="4" w:space="0"/>
          <w:bottom w:val="single" w:color="FFFFFF" w:sz="4" w:space="0"/>
        </w:tcBorders>
      </w:tcPr>
    </w:tblStylePr>
    <w:tblStylePr w:type="band1Vert">
      <w:tcPr>
        <w:shd w:val="clear" w:color="7f7f7f" w:fill="7f7f7f"/>
        <w:tcBorders>
          <w:left w:val="single" w:color="FFFFFF" w:sz="4" w:space="0"/>
          <w:right w:val="single" w:color="FFFFFF" w:sz="4" w:space="0"/>
        </w:tcBorders>
      </w:tcPr>
    </w:tblStylePr>
    <w:tblStylePr w:type="band2Horz">
      <w:tcPr>
        <w:shd w:val="clear" w:color="7f7f7f" w:fill="7f7f7f"/>
        <w:tcBorders>
          <w:top w:val="single" w:color="FFFFFF" w:sz="4" w:space="0"/>
          <w:bottom w:val="single" w:color="FFFFFF" w:sz="4" w:space="0"/>
        </w:tcBorders>
      </w:tcPr>
    </w:tblStylePr>
    <w:tblStylePr w:type="band2Vert">
      <w:tcPr>
        <w:tcBorders>
          <w:left w:val="single" w:color="FFFFFF" w:sz="4" w:space="0"/>
          <w:right w:val="single" w:color="FFFFFF" w:sz="4" w:space="0"/>
        </w:tcBorders>
      </w:tcPr>
    </w:tblStylePr>
    <w:tblStylePr w:type="firstCol">
      <w:rPr>
        <w:rFonts w:ascii="Arial" w:hAnsi="Arial"/>
        <w:b/>
        <w:color w:val="ffffff"/>
        <w:sz w:val="22"/>
      </w:rPr>
      <w:tcPr>
        <w:tcBorders>
          <w:left w:val="single" w:color="7F7F7F" w:sz="32" w:space="0"/>
          <w:right w:val="single" w:color="FFFFFF" w:sz="4" w:space="0"/>
        </w:tcBorders>
      </w:tcPr>
    </w:tblStylePr>
    <w:tblStylePr w:type="firstRow">
      <w:rPr>
        <w:rFonts w:ascii="Arial" w:hAnsi="Arial"/>
        <w:b/>
        <w:color w:val="ffffff"/>
        <w:sz w:val="22"/>
      </w:rPr>
      <w:tcPr>
        <w:shd w:val="clear" w:color="7f7f7f" w:fill="7f7f7f"/>
        <w:tcBorders>
          <w:top w:val="single" w:color="7F7F7F" w:sz="32" w:space="0"/>
          <w:bottom w:val="single" w:color="FFFFFF" w:sz="12" w:space="0"/>
        </w:tcBorders>
      </w:tcPr>
    </w:tblStylePr>
    <w:tblStylePr w:type="lastCol">
      <w:tcPr>
        <w:tcBorders>
          <w:left w:val="single" w:color="FFFFFF" w:sz="4" w:space="0"/>
          <w:right w:val="single" w:color="7F7F7F" w:sz="32" w:space="0"/>
        </w:tcBorders>
      </w:tcPr>
    </w:tblStylePr>
    <w:tblStylePr w:type="lastRow">
      <w:rPr>
        <w:rFonts w:ascii="Arial" w:hAnsi="Arial"/>
        <w:b/>
        <w:color w:val="ffffff"/>
        <w:sz w:val="22"/>
      </w:rPr>
    </w:tblStylePr>
  </w:style>
  <w:style w:type="table" w:styleId="1121" w:customStyle="1">
    <w:name w:val="清单表 6 彩色1"/>
    <w:basedOn w:val="1058"/>
    <w:uiPriority w:val="99"/>
    <w:qFormat/>
    <w:tblPr>
      <w:tblBorders>
        <w:top w:val="single" w:color="7F7F7F" w:sz="4" w:space="0"/>
        <w:bottom w:val="single" w:color="7F7F7F" w:sz="4" w:space="0"/>
      </w:tblBorders>
      <w:tblCellMar>
        <w:left w:w="0" w:type="dxa"/>
        <w:right w:w="0" w:type="dxa"/>
      </w:tblCellMar>
    </w:tblPr>
    <w:tblStylePr w:type="band1Horz">
      <w:rPr>
        <w:rFonts w:ascii="Arial" w:hAnsi="Arial"/>
        <w:color w:val="000000"/>
        <w:sz w:val="22"/>
      </w:rPr>
      <w:tcPr>
        <w:shd w:val="clear" w:color="bfbfbf" w:fill="bfbfbf"/>
      </w:tcPr>
    </w:tblStylePr>
    <w:tblStylePr w:type="band1Vert">
      <w:tcPr>
        <w:shd w:val="clear" w:color="bfbfbf" w:fill="bfbfbf"/>
      </w:tcPr>
    </w:tblStylePr>
    <w:tblStylePr w:type="band2Horz">
      <w:rPr>
        <w:rFonts w:ascii="Arial" w:hAnsi="Arial"/>
        <w:color w:val="000000"/>
        <w:sz w:val="22"/>
      </w:rPr>
    </w:tblStylePr>
    <w:tblStylePr w:type="firstCol">
      <w:rPr>
        <w:b/>
        <w:color w:val="000000"/>
      </w:rPr>
    </w:tblStylePr>
    <w:tblStylePr w:type="firstRow">
      <w:rPr>
        <w:b/>
        <w:color w:val="000000"/>
      </w:rPr>
      <w:tcPr>
        <w:tcBorders>
          <w:bottom w:val="single" w:color="7F7F7F" w:sz="4" w:space="0"/>
        </w:tcBorders>
      </w:tcPr>
    </w:tblStylePr>
    <w:tblStylePr w:type="lastCol">
      <w:rPr>
        <w:b/>
        <w:color w:val="000000"/>
      </w:rPr>
    </w:tblStylePr>
    <w:tblStylePr w:type="lastRow">
      <w:rPr>
        <w:b/>
        <w:color w:val="000000"/>
      </w:rPr>
      <w:tcPr>
        <w:tcBorders>
          <w:top w:val="single" w:color="7F7F7F" w:sz="4" w:space="0"/>
        </w:tcBorders>
      </w:tcPr>
    </w:tblStylePr>
  </w:style>
  <w:style w:type="table" w:styleId="1122" w:customStyle="1">
    <w:name w:val="清单表 7 彩色1"/>
    <w:basedOn w:val="1058"/>
    <w:uiPriority w:val="99"/>
    <w:qFormat/>
    <w:tblPr>
      <w:tblBorders>
        <w:right w:val="single" w:color="7F7F7F" w:sz="4" w:space="0"/>
      </w:tblBorders>
      <w:tblCellMar>
        <w:left w:w="0" w:type="dxa"/>
        <w:right w:w="0" w:type="dxa"/>
      </w:tblCellMar>
    </w:tblPr>
    <w:tblStylePr w:type="band1Horz">
      <w:rPr>
        <w:rFonts w:ascii="Arial" w:hAnsi="Arial"/>
        <w:color w:val="7f7f7f"/>
        <w:sz w:val="22"/>
      </w:rPr>
      <w:tcPr>
        <w:shd w:val="clear" w:color="bfbfbf" w:fill="bfbfbf"/>
      </w:tcPr>
    </w:tblStylePr>
    <w:tblStylePr w:type="band1Vert">
      <w:tcPr>
        <w:shd w:val="clear" w:color="bfbfbf" w:fill="bfbfbf"/>
      </w:tcPr>
    </w:tblStylePr>
    <w:tblStylePr w:type="band2Horz">
      <w:rPr>
        <w:rFonts w:ascii="Arial" w:hAnsi="Arial"/>
        <w:color w:val="7f7f7f"/>
        <w:sz w:val="22"/>
      </w:rPr>
    </w:tblStylePr>
    <w:tblStylePr w:type="firstCol">
      <w:rPr>
        <w:rFonts w:ascii="Arial" w:hAnsi="Arial"/>
        <w:i/>
        <w:color w:val="7f7f7f"/>
        <w:sz w:val="22"/>
      </w:rPr>
      <w:pPr>
        <w:jc w:val="right"/>
      </w:pPr>
      <w:tcPr>
        <w:shd w:val="clear" w:color="ffffff" w:fill="auto"/>
        <w:tcBorders>
          <w:top w:val="none" w:color="000000" w:sz="4" w:space="0"/>
          <w:left w:val="none" w:color="000000" w:sz="4" w:space="0"/>
          <w:bottom w:val="none" w:color="000000" w:sz="4" w:space="0"/>
          <w:right w:val="single" w:color="7F7F7F" w:sz="4" w:space="0"/>
        </w:tcBorders>
      </w:tcPr>
    </w:tblStylePr>
    <w:tblStylePr w:type="firstRow">
      <w:rPr>
        <w:rFonts w:ascii="Arial" w:hAnsi="Arial"/>
        <w:i/>
        <w:color w:val="7f7f7f"/>
        <w:sz w:val="22"/>
      </w:rPr>
      <w:tcPr>
        <w:shd w:val="clear" w:color="ffffff" w:fill="ffffff"/>
        <w:tcBorders>
          <w:top w:val="none" w:color="000000" w:sz="4" w:space="0"/>
          <w:left w:val="none" w:color="000000" w:sz="4" w:space="0"/>
          <w:bottom w:val="single" w:color="7F7F7F" w:sz="4" w:space="0"/>
          <w:right w:val="none" w:color="000000" w:sz="4" w:space="0"/>
        </w:tcBorders>
      </w:tcPr>
    </w:tblStylePr>
    <w:tblStylePr w:type="lastCol">
      <w:rPr>
        <w:rFonts w:ascii="Arial" w:hAnsi="Arial"/>
        <w:i/>
        <w:color w:val="7f7f7f"/>
        <w:sz w:val="22"/>
      </w:rPr>
      <w:tcPr>
        <w:shd w:val="clear" w:color="ffffff" w:fill="auto"/>
        <w:tcBorders>
          <w:top w:val="none" w:color="000000" w:sz="4" w:space="0"/>
          <w:left w:val="single" w:color="7F7F7F" w:sz="4" w:space="0"/>
          <w:bottom w:val="none" w:color="000000" w:sz="4" w:space="0"/>
          <w:right w:val="none" w:color="000000" w:sz="4" w:space="0"/>
        </w:tcBorders>
      </w:tcPr>
    </w:tblStylePr>
    <w:tblStylePr w:type="lastRow">
      <w:rPr>
        <w:rFonts w:ascii="Arial" w:hAnsi="Arial"/>
        <w:i/>
        <w:color w:val="7f7f7f"/>
        <w:sz w:val="22"/>
      </w:rPr>
      <w:tcPr>
        <w:shd w:val="clear" w:color="ffffff" w:fill="ffffff"/>
        <w:tcBorders>
          <w:top w:val="single" w:color="7F7F7F" w:sz="4" w:space="0"/>
          <w:left w:val="none" w:color="000000" w:sz="4" w:space="0"/>
          <w:bottom w:val="none" w:color="000000" w:sz="4" w:space="0"/>
          <w:right w:val="none" w:color="000000" w:sz="4" w:space="0"/>
        </w:tcBorders>
      </w:tcPr>
    </w:tblStylePr>
  </w:style>
  <w:style w:type="paragraph" w:styleId="1123" w:customStyle="1">
    <w:name w:val="TOC 标题1"/>
    <w:uiPriority w:val="39"/>
    <w:unhideWhenUsed/>
    <w:qFormat/>
    <w:rPr>
      <w:rFonts w:ascii="Times New Roman" w:hAnsi="Times New Roman" w:eastAsia="宋体" w:cs="Times New Roman"/>
      <w:lang w:val="en-US" w:eastAsia="zh-CN" w:bidi="ar-SA"/>
    </w:rPr>
  </w:style>
  <w:style w:type="character" w:styleId="1124" w:customStyle="1">
    <w:name w:val="Heading 1 Char"/>
    <w:uiPriority w:val="9"/>
    <w:qFormat/>
    <w:rPr>
      <w:rFonts w:ascii="Arial" w:hAnsi="Arial" w:eastAsia="Arial" w:cs="Arial"/>
      <w:sz w:val="40"/>
      <w:szCs w:val="40"/>
    </w:rPr>
  </w:style>
  <w:style w:type="character" w:styleId="1125" w:customStyle="1">
    <w:name w:val="Heading 2 Char"/>
    <w:uiPriority w:val="9"/>
    <w:qFormat/>
    <w:rPr>
      <w:rFonts w:ascii="Arial" w:hAnsi="Arial" w:eastAsia="Arial" w:cs="Arial"/>
      <w:sz w:val="34"/>
    </w:rPr>
  </w:style>
  <w:style w:type="character" w:styleId="1126" w:customStyle="1">
    <w:name w:val="Heading 3 Char"/>
    <w:uiPriority w:val="9"/>
    <w:qFormat/>
    <w:rPr>
      <w:rFonts w:ascii="Arial" w:hAnsi="Arial" w:eastAsia="Arial" w:cs="Arial"/>
      <w:sz w:val="30"/>
      <w:szCs w:val="30"/>
    </w:rPr>
  </w:style>
  <w:style w:type="character" w:styleId="1127" w:customStyle="1">
    <w:name w:val="Heading 4 Char"/>
    <w:uiPriority w:val="9"/>
    <w:qFormat/>
    <w:rPr>
      <w:rFonts w:ascii="Arial" w:hAnsi="Arial" w:eastAsia="Arial" w:cs="Arial"/>
      <w:b/>
      <w:bCs/>
      <w:sz w:val="26"/>
      <w:szCs w:val="26"/>
    </w:rPr>
  </w:style>
  <w:style w:type="character" w:styleId="1128" w:customStyle="1">
    <w:name w:val="Heading 5 Char"/>
    <w:uiPriority w:val="9"/>
    <w:qFormat/>
    <w:rPr>
      <w:rFonts w:ascii="Arial" w:hAnsi="Arial" w:eastAsia="Arial" w:cs="Arial"/>
      <w:b/>
      <w:bCs/>
      <w:sz w:val="24"/>
      <w:szCs w:val="24"/>
    </w:rPr>
  </w:style>
  <w:style w:type="character" w:styleId="1129" w:customStyle="1">
    <w:name w:val="Heading 6 Char"/>
    <w:uiPriority w:val="9"/>
    <w:qFormat/>
    <w:rPr>
      <w:rFonts w:ascii="Arial" w:hAnsi="Arial" w:eastAsia="Arial" w:cs="Arial"/>
      <w:b/>
      <w:bCs/>
      <w:sz w:val="22"/>
      <w:szCs w:val="22"/>
    </w:rPr>
  </w:style>
  <w:style w:type="character" w:styleId="1130" w:customStyle="1">
    <w:name w:val="Heading 7 Char"/>
    <w:uiPriority w:val="9"/>
    <w:qFormat/>
    <w:rPr>
      <w:rFonts w:ascii="Arial" w:hAnsi="Arial" w:eastAsia="Arial" w:cs="Arial"/>
      <w:b/>
      <w:bCs/>
      <w:i/>
      <w:iCs/>
      <w:sz w:val="22"/>
      <w:szCs w:val="22"/>
    </w:rPr>
  </w:style>
  <w:style w:type="character" w:styleId="1131" w:customStyle="1">
    <w:name w:val="Heading 8 Char"/>
    <w:uiPriority w:val="9"/>
    <w:qFormat/>
    <w:rPr>
      <w:rFonts w:ascii="Arial" w:hAnsi="Arial" w:eastAsia="Arial" w:cs="Arial"/>
      <w:i/>
      <w:iCs/>
      <w:sz w:val="22"/>
      <w:szCs w:val="22"/>
    </w:rPr>
  </w:style>
  <w:style w:type="character" w:styleId="1132" w:customStyle="1">
    <w:name w:val="Heading 9 Char"/>
    <w:uiPriority w:val="9"/>
    <w:qFormat/>
    <w:rPr>
      <w:rFonts w:ascii="Arial" w:hAnsi="Arial" w:eastAsia="Arial" w:cs="Arial"/>
      <w:i/>
      <w:iCs/>
      <w:sz w:val="21"/>
      <w:szCs w:val="21"/>
    </w:rPr>
  </w:style>
  <w:style w:type="character" w:styleId="1133" w:customStyle="1">
    <w:name w:val="Title Char"/>
    <w:uiPriority w:val="10"/>
    <w:qFormat/>
    <w:rPr>
      <w:sz w:val="48"/>
      <w:szCs w:val="48"/>
    </w:rPr>
  </w:style>
  <w:style w:type="character" w:styleId="1134" w:customStyle="1">
    <w:name w:val="Subtitle Char"/>
    <w:uiPriority w:val="11"/>
    <w:qFormat/>
    <w:rPr>
      <w:sz w:val="24"/>
      <w:szCs w:val="24"/>
    </w:rPr>
  </w:style>
  <w:style w:type="character" w:styleId="1135" w:customStyle="1">
    <w:name w:val="Quote Char"/>
    <w:uiPriority w:val="29"/>
    <w:qFormat/>
    <w:rPr>
      <w:i/>
    </w:rPr>
  </w:style>
  <w:style w:type="character" w:styleId="1136" w:customStyle="1">
    <w:name w:val="Intense Quote Char"/>
    <w:uiPriority w:val="30"/>
    <w:qFormat/>
    <w:rPr>
      <w:i/>
    </w:rPr>
  </w:style>
  <w:style w:type="character" w:styleId="1137" w:customStyle="1">
    <w:name w:val="Header Char"/>
    <w:basedOn w:val="1057"/>
    <w:uiPriority w:val="99"/>
    <w:qFormat/>
  </w:style>
  <w:style w:type="character" w:styleId="1138" w:customStyle="1">
    <w:name w:val="Caption Char"/>
    <w:uiPriority w:val="99"/>
    <w:qFormat/>
  </w:style>
  <w:style w:type="character" w:styleId="1139" w:customStyle="1">
    <w:name w:val="Footnote Text Char"/>
    <w:uiPriority w:val="99"/>
    <w:qFormat/>
    <w:rPr>
      <w:sz w:val="18"/>
    </w:rPr>
  </w:style>
  <w:style w:type="character" w:styleId="1140" w:customStyle="1">
    <w:name w:val="Endnote Text Char"/>
    <w:uiPriority w:val="99"/>
    <w:qFormat/>
    <w:rPr>
      <w:sz w:val="20"/>
    </w:rPr>
  </w:style>
  <w:style w:type="paragraph" w:styleId="1141" w:customStyle="1">
    <w:name w:val="TOC 标题111"/>
    <w:uiPriority w:val="39"/>
    <w:unhideWhenUsed/>
    <w:qFormat/>
    <w:rPr>
      <w:rFonts w:ascii="Times New Roman" w:hAnsi="Times New Roman" w:eastAsia="宋体" w:cs="Times New Roman"/>
      <w:lang w:val="en-US" w:eastAsia="zh-CN" w:bidi="ar-SA"/>
    </w:rPr>
  </w:style>
  <w:style w:type="character" w:styleId="1142" w:customStyle="1">
    <w:name w:val="标题 1 字符"/>
    <w:link w:val="1048"/>
    <w:uiPriority w:val="9"/>
    <w:qFormat/>
    <w:rPr>
      <w:rFonts w:ascii="Arial" w:hAnsi="Arial" w:eastAsia="Arial" w:cs="Arial"/>
      <w:sz w:val="40"/>
      <w:szCs w:val="40"/>
    </w:rPr>
  </w:style>
  <w:style w:type="character" w:styleId="1143" w:customStyle="1">
    <w:name w:val="标题 2 字符"/>
    <w:link w:val="1049"/>
    <w:uiPriority w:val="9"/>
    <w:qFormat/>
    <w:rPr>
      <w:rFonts w:ascii="Arial" w:hAnsi="Arial" w:eastAsia="Arial" w:cs="Arial"/>
      <w:sz w:val="34"/>
    </w:rPr>
  </w:style>
  <w:style w:type="character" w:styleId="1144" w:customStyle="1">
    <w:name w:val="标题 3 字符"/>
    <w:link w:val="1050"/>
    <w:uiPriority w:val="9"/>
    <w:qFormat/>
    <w:rPr>
      <w:rFonts w:ascii="Arial" w:hAnsi="Arial" w:eastAsia="Arial" w:cs="Arial"/>
      <w:sz w:val="30"/>
      <w:szCs w:val="30"/>
    </w:rPr>
  </w:style>
  <w:style w:type="character" w:styleId="1145" w:customStyle="1">
    <w:name w:val="标题 4 字符"/>
    <w:link w:val="1051"/>
    <w:uiPriority w:val="9"/>
    <w:qFormat/>
    <w:rPr>
      <w:rFonts w:ascii="Arial" w:hAnsi="Arial" w:eastAsia="Arial" w:cs="Arial"/>
      <w:b/>
      <w:bCs/>
      <w:sz w:val="26"/>
      <w:szCs w:val="26"/>
    </w:rPr>
  </w:style>
  <w:style w:type="character" w:styleId="1146" w:customStyle="1">
    <w:name w:val="标题 5 字符"/>
    <w:link w:val="1052"/>
    <w:uiPriority w:val="9"/>
    <w:qFormat/>
    <w:rPr>
      <w:rFonts w:ascii="Arial" w:hAnsi="Arial" w:eastAsia="Arial" w:cs="Arial"/>
      <w:b/>
      <w:bCs/>
      <w:sz w:val="24"/>
      <w:szCs w:val="24"/>
    </w:rPr>
  </w:style>
  <w:style w:type="character" w:styleId="1147" w:customStyle="1">
    <w:name w:val="标题 6 字符"/>
    <w:link w:val="1053"/>
    <w:uiPriority w:val="9"/>
    <w:qFormat/>
    <w:rPr>
      <w:rFonts w:ascii="Arial" w:hAnsi="Arial" w:eastAsia="Arial" w:cs="Arial"/>
      <w:b/>
      <w:bCs/>
      <w:sz w:val="22"/>
      <w:szCs w:val="22"/>
    </w:rPr>
  </w:style>
  <w:style w:type="character" w:styleId="1148" w:customStyle="1">
    <w:name w:val="标题 7 字符"/>
    <w:link w:val="1054"/>
    <w:uiPriority w:val="9"/>
    <w:qFormat/>
    <w:rPr>
      <w:rFonts w:ascii="Arial" w:hAnsi="Arial" w:eastAsia="Arial" w:cs="Arial"/>
      <w:b/>
      <w:bCs/>
      <w:i/>
      <w:iCs/>
      <w:sz w:val="22"/>
      <w:szCs w:val="22"/>
    </w:rPr>
  </w:style>
  <w:style w:type="character" w:styleId="1149" w:customStyle="1">
    <w:name w:val="标题 8 字符"/>
    <w:link w:val="1055"/>
    <w:uiPriority w:val="9"/>
    <w:qFormat/>
    <w:rPr>
      <w:rFonts w:ascii="Arial" w:hAnsi="Arial" w:eastAsia="Arial" w:cs="Arial"/>
      <w:i/>
      <w:iCs/>
      <w:sz w:val="22"/>
      <w:szCs w:val="22"/>
    </w:rPr>
  </w:style>
  <w:style w:type="character" w:styleId="1150" w:customStyle="1">
    <w:name w:val="标题 9 字符"/>
    <w:link w:val="1056"/>
    <w:uiPriority w:val="9"/>
    <w:qFormat/>
    <w:rPr>
      <w:rFonts w:ascii="Arial" w:hAnsi="Arial" w:eastAsia="Arial" w:cs="Arial"/>
      <w:i/>
      <w:iCs/>
      <w:sz w:val="21"/>
      <w:szCs w:val="21"/>
    </w:rPr>
  </w:style>
  <w:style w:type="paragraph" w:styleId="1151">
    <w:name w:val="No Spacing"/>
    <w:uiPriority w:val="1"/>
    <w:qFormat/>
    <w:rPr>
      <w:rFonts w:ascii="Times New Roman" w:hAnsi="Times New Roman" w:eastAsia="宋体" w:cs="Times New Roman"/>
      <w:lang w:val="en-US" w:eastAsia="zh-CN" w:bidi="ar-SA"/>
    </w:rPr>
  </w:style>
  <w:style w:type="character" w:styleId="1152" w:customStyle="1">
    <w:name w:val="标题 字符"/>
    <w:link w:val="1085"/>
    <w:uiPriority w:val="10"/>
    <w:qFormat/>
    <w:rPr>
      <w:sz w:val="48"/>
      <w:szCs w:val="48"/>
    </w:rPr>
  </w:style>
  <w:style w:type="character" w:styleId="1153" w:customStyle="1">
    <w:name w:val="副标题 字符"/>
    <w:link w:val="1078"/>
    <w:uiPriority w:val="11"/>
    <w:qFormat/>
    <w:rPr>
      <w:sz w:val="24"/>
      <w:szCs w:val="24"/>
    </w:rPr>
  </w:style>
  <w:style w:type="paragraph" w:styleId="1154">
    <w:name w:val="Quote"/>
    <w:basedOn w:val="1047"/>
    <w:next w:val="1047"/>
    <w:link w:val="1155"/>
    <w:uiPriority w:val="29"/>
    <w:qFormat/>
    <w:pPr>
      <w:ind w:left="720" w:right="720"/>
    </w:pPr>
    <w:rPr>
      <w:i/>
    </w:rPr>
  </w:style>
  <w:style w:type="character" w:styleId="1155" w:customStyle="1">
    <w:name w:val="引用 字符"/>
    <w:link w:val="1154"/>
    <w:uiPriority w:val="29"/>
    <w:qFormat/>
    <w:rPr>
      <w:i/>
    </w:rPr>
  </w:style>
  <w:style w:type="paragraph" w:styleId="1156">
    <w:name w:val="Intense Quote"/>
    <w:basedOn w:val="1047"/>
    <w:next w:val="1047"/>
    <w:link w:val="11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57" w:customStyle="1">
    <w:name w:val="明显引用 字符"/>
    <w:link w:val="1156"/>
    <w:uiPriority w:val="30"/>
    <w:qFormat/>
    <w:rPr>
      <w:i/>
    </w:rPr>
  </w:style>
  <w:style w:type="character" w:styleId="1158" w:customStyle="1">
    <w:name w:val="页眉 字符"/>
    <w:link w:val="1075"/>
    <w:uiPriority w:val="99"/>
    <w:qFormat/>
  </w:style>
  <w:style w:type="character" w:styleId="1159" w:customStyle="1">
    <w:name w:val="Footer Char"/>
    <w:uiPriority w:val="99"/>
    <w:qFormat/>
  </w:style>
  <w:style w:type="character" w:styleId="1160" w:customStyle="1">
    <w:name w:val="页脚 字符"/>
    <w:link w:val="1074"/>
    <w:uiPriority w:val="99"/>
    <w:qFormat/>
  </w:style>
  <w:style w:type="table" w:styleId="1161"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162"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163"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164"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165"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166"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167"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1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74"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175"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76"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77"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78"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79"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80"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181"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182"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183"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184"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185"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186"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7"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8"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89"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0"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1"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192"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3"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194"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195"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196"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197"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198"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199"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00"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01"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02"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03"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04" w:customStyle="1">
    <w:name w:val="List Table 1 Light - Accent 1"/>
    <w:uiPriority w:val="99"/>
    <w:qFormat/>
    <w:tblPr>
      <w:tblCellMar>
        <w:left w:w="0" w:type="dxa"/>
        <w:top w:w="0" w:type="dxa"/>
        <w:right w:w="0" w:type="dxa"/>
        <w:bottom w:w="0" w:type="dxa"/>
      </w:tblCellMar>
    </w:tblPr>
  </w:style>
  <w:style w:type="table" w:styleId="1205" w:customStyle="1">
    <w:name w:val="List Table 1 Light - Accent 2"/>
    <w:uiPriority w:val="99"/>
    <w:qFormat/>
    <w:tblPr>
      <w:tblCellMar>
        <w:left w:w="0" w:type="dxa"/>
        <w:top w:w="0" w:type="dxa"/>
        <w:right w:w="0" w:type="dxa"/>
        <w:bottom w:w="0" w:type="dxa"/>
      </w:tblCellMar>
    </w:tblPr>
  </w:style>
  <w:style w:type="table" w:styleId="1206" w:customStyle="1">
    <w:name w:val="List Table 1 Light - Accent 3"/>
    <w:uiPriority w:val="99"/>
    <w:qFormat/>
    <w:tblPr>
      <w:tblCellMar>
        <w:left w:w="0" w:type="dxa"/>
        <w:top w:w="0" w:type="dxa"/>
        <w:right w:w="0" w:type="dxa"/>
        <w:bottom w:w="0" w:type="dxa"/>
      </w:tblCellMar>
    </w:tblPr>
  </w:style>
  <w:style w:type="table" w:styleId="1207" w:customStyle="1">
    <w:name w:val="List Table 1 Light - Accent 4"/>
    <w:uiPriority w:val="99"/>
    <w:qFormat/>
    <w:tblPr>
      <w:tblCellMar>
        <w:left w:w="0" w:type="dxa"/>
        <w:top w:w="0" w:type="dxa"/>
        <w:right w:w="0" w:type="dxa"/>
        <w:bottom w:w="0" w:type="dxa"/>
      </w:tblCellMar>
    </w:tblPr>
  </w:style>
  <w:style w:type="table" w:styleId="1208" w:customStyle="1">
    <w:name w:val="List Table 1 Light - Accent 5"/>
    <w:uiPriority w:val="99"/>
    <w:qFormat/>
    <w:tblPr>
      <w:tblCellMar>
        <w:left w:w="0" w:type="dxa"/>
        <w:top w:w="0" w:type="dxa"/>
        <w:right w:w="0" w:type="dxa"/>
        <w:bottom w:w="0" w:type="dxa"/>
      </w:tblCellMar>
    </w:tblPr>
  </w:style>
  <w:style w:type="table" w:styleId="1209" w:customStyle="1">
    <w:name w:val="List Table 1 Light - Accent 6"/>
    <w:uiPriority w:val="99"/>
    <w:qFormat/>
    <w:tblPr>
      <w:tblCellMar>
        <w:left w:w="0" w:type="dxa"/>
        <w:top w:w="0" w:type="dxa"/>
        <w:right w:w="0" w:type="dxa"/>
        <w:bottom w:w="0" w:type="dxa"/>
      </w:tblCellMar>
    </w:tblPr>
  </w:style>
  <w:style w:type="table" w:styleId="1210"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211"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212"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213"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214"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215"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216"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217"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218"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219"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20"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21"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22"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23"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24"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25"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26"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27"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2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2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3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3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3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3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34"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235"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236"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237"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238"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239"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240"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241"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242"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243"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244"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245"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246" w:customStyle="1">
    <w:name w:val="Lined - Accent"/>
    <w:uiPriority w:val="99"/>
    <w:qFormat/>
    <w:rPr>
      <w:color w:val="404040"/>
    </w:rPr>
    <w:tblPr>
      <w:tblCellMar>
        <w:left w:w="0" w:type="dxa"/>
        <w:top w:w="0" w:type="dxa"/>
        <w:right w:w="0" w:type="dxa"/>
        <w:bottom w:w="0" w:type="dxa"/>
      </w:tblCellMar>
    </w:tblPr>
  </w:style>
  <w:style w:type="table" w:styleId="1247" w:customStyle="1">
    <w:name w:val="Lined - Accent 1"/>
    <w:uiPriority w:val="99"/>
    <w:qFormat/>
    <w:rPr>
      <w:color w:val="404040"/>
    </w:rPr>
    <w:tblPr>
      <w:tblCellMar>
        <w:left w:w="0" w:type="dxa"/>
        <w:top w:w="0" w:type="dxa"/>
        <w:right w:w="0" w:type="dxa"/>
        <w:bottom w:w="0" w:type="dxa"/>
      </w:tblCellMar>
    </w:tblPr>
  </w:style>
  <w:style w:type="table" w:styleId="1248" w:customStyle="1">
    <w:name w:val="Lined - Accent 2"/>
    <w:uiPriority w:val="99"/>
    <w:qFormat/>
    <w:rPr>
      <w:color w:val="404040"/>
    </w:rPr>
    <w:tblPr>
      <w:tblCellMar>
        <w:left w:w="0" w:type="dxa"/>
        <w:top w:w="0" w:type="dxa"/>
        <w:right w:w="0" w:type="dxa"/>
        <w:bottom w:w="0" w:type="dxa"/>
      </w:tblCellMar>
    </w:tblPr>
  </w:style>
  <w:style w:type="table" w:styleId="1249" w:customStyle="1">
    <w:name w:val="Lined - Accent 3"/>
    <w:uiPriority w:val="99"/>
    <w:qFormat/>
    <w:rPr>
      <w:color w:val="404040"/>
    </w:rPr>
    <w:tblPr>
      <w:tblCellMar>
        <w:left w:w="0" w:type="dxa"/>
        <w:top w:w="0" w:type="dxa"/>
        <w:right w:w="0" w:type="dxa"/>
        <w:bottom w:w="0" w:type="dxa"/>
      </w:tblCellMar>
    </w:tblPr>
  </w:style>
  <w:style w:type="table" w:styleId="1250" w:customStyle="1">
    <w:name w:val="Lined - Accent 4"/>
    <w:uiPriority w:val="99"/>
    <w:qFormat/>
    <w:rPr>
      <w:color w:val="404040"/>
    </w:rPr>
    <w:tblPr>
      <w:tblCellMar>
        <w:left w:w="0" w:type="dxa"/>
        <w:top w:w="0" w:type="dxa"/>
        <w:right w:w="0" w:type="dxa"/>
        <w:bottom w:w="0" w:type="dxa"/>
      </w:tblCellMar>
    </w:tblPr>
  </w:style>
  <w:style w:type="table" w:styleId="1251" w:customStyle="1">
    <w:name w:val="Lined - Accent 5"/>
    <w:uiPriority w:val="99"/>
    <w:qFormat/>
    <w:rPr>
      <w:color w:val="404040"/>
    </w:rPr>
    <w:tblPr>
      <w:tblCellMar>
        <w:left w:w="0" w:type="dxa"/>
        <w:top w:w="0" w:type="dxa"/>
        <w:right w:w="0" w:type="dxa"/>
        <w:bottom w:w="0" w:type="dxa"/>
      </w:tblCellMar>
    </w:tblPr>
  </w:style>
  <w:style w:type="table" w:styleId="1252" w:customStyle="1">
    <w:name w:val="Lined - Accent 6"/>
    <w:uiPriority w:val="99"/>
    <w:qFormat/>
    <w:rPr>
      <w:color w:val="404040"/>
    </w:rPr>
    <w:tblPr>
      <w:tblCellMar>
        <w:left w:w="0" w:type="dxa"/>
        <w:top w:w="0" w:type="dxa"/>
        <w:right w:w="0" w:type="dxa"/>
        <w:bottom w:w="0" w:type="dxa"/>
      </w:tblCellMar>
    </w:tblPr>
  </w:style>
  <w:style w:type="table" w:styleId="1253"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4" w:customStyle="1">
    <w:name w:val="Bordered &amp; Lined - Accent 1"/>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5"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56"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57"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58"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59"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60"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61"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62"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63"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64"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65"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66"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267" w:customStyle="1">
    <w:name w:val="脚注文本 字符"/>
    <w:link w:val="1079"/>
    <w:uiPriority w:val="99"/>
    <w:qFormat/>
    <w:rPr>
      <w:sz w:val="18"/>
    </w:rPr>
  </w:style>
  <w:style w:type="character" w:styleId="1268" w:customStyle="1">
    <w:name w:val="尾注文本 字符"/>
    <w:link w:val="1072"/>
    <w:uiPriority w:val="99"/>
    <w:qFormat/>
    <w:rPr>
      <w:sz w:val="20"/>
    </w:rPr>
  </w:style>
  <w:style w:type="paragraph" w:styleId="1269" w:customStyle="1">
    <w:name w:val="TOC 标题11"/>
    <w:uiPriority w:val="39"/>
    <w:unhideWhenUsed/>
    <w:qFormat/>
    <w:rPr>
      <w:rFonts w:ascii="Times New Roman" w:hAnsi="Times New Roman" w:eastAsia="宋体" w:cs="Times New Roman"/>
      <w:lang w:val="en-US" w:eastAsia="zh-CN" w:bidi="ar-SA"/>
    </w:rPr>
  </w:style>
  <w:style w:type="paragraph" w:styleId="1270" w:customStyle="1">
    <w:name w:val="正文11"/>
    <w:next w:val="1271"/>
    <w:link w:val="1395"/>
    <w:uiPriority w:val="0"/>
    <w:qFormat/>
    <w:pPr>
      <w:jc w:val="both"/>
    </w:pPr>
    <w:rPr>
      <w:rFonts w:ascii="Times New Roman" w:hAnsi="Times New Roman" w:eastAsia="宋体" w:cs="Times New Roman"/>
      <w:lang w:val="en-US" w:eastAsia="zh-CN" w:bidi="ar-SA"/>
    </w:rPr>
  </w:style>
  <w:style w:type="paragraph" w:styleId="1271" w:customStyle="1">
    <w:name w:val="正文首行缩进 21"/>
    <w:basedOn w:val="1272"/>
    <w:next w:val="1047"/>
    <w:uiPriority w:val="0"/>
    <w:qFormat/>
    <w:pPr>
      <w:ind w:firstLine="420"/>
    </w:pPr>
    <w:rPr>
      <w:rFonts w:ascii="仿宋_GB2312" w:eastAsia="仿宋_GB2312"/>
      <w:color w:val="ff6600"/>
      <w:sz w:val="21"/>
    </w:rPr>
  </w:style>
  <w:style w:type="paragraph" w:styleId="1272" w:customStyle="1">
    <w:name w:val="正文文本缩进1"/>
    <w:basedOn w:val="1270"/>
    <w:next w:val="1273"/>
    <w:uiPriority w:val="0"/>
    <w:qFormat/>
    <w:pPr>
      <w:ind w:left="420"/>
      <w:spacing w:after="120"/>
    </w:pPr>
  </w:style>
  <w:style w:type="paragraph" w:styleId="1273" w:customStyle="1">
    <w:name w:val="寄信人地址1"/>
    <w:basedOn w:val="1270"/>
    <w:uiPriority w:val="0"/>
    <w:qFormat/>
    <w:rPr>
      <w:rFonts w:ascii="Arial" w:hAnsi="Arial"/>
    </w:rPr>
  </w:style>
  <w:style w:type="paragraph" w:styleId="1274" w:customStyle="1">
    <w:name w:val="文本块1"/>
    <w:basedOn w:val="1270"/>
    <w:next w:val="1275"/>
    <w:uiPriority w:val="0"/>
    <w:qFormat/>
    <w:pPr>
      <w:ind w:left="256" w:right="6" w:firstLine="624"/>
    </w:pPr>
    <w:rPr>
      <w:rFonts w:eastAsia="仿宋_GB2312"/>
      <w:sz w:val="28"/>
    </w:rPr>
  </w:style>
  <w:style w:type="paragraph" w:styleId="1275" w:customStyle="1">
    <w:name w:val="标题 41"/>
    <w:basedOn w:val="1270"/>
    <w:next w:val="1270"/>
    <w:uiPriority w:val="0"/>
    <w:qFormat/>
    <w:pPr>
      <w:keepLines/>
      <w:keepNext/>
      <w:spacing w:line="360" w:lineRule="auto"/>
      <w:outlineLvl w:val="3"/>
    </w:pPr>
    <w:rPr>
      <w:rFonts w:ascii="Arial" w:hAnsi="Arial"/>
      <w:b/>
      <w:bCs/>
      <w:sz w:val="21"/>
      <w:szCs w:val="28"/>
    </w:rPr>
  </w:style>
  <w:style w:type="paragraph" w:styleId="1276" w:customStyle="1">
    <w:name w:val="标题 21"/>
    <w:basedOn w:val="1097"/>
    <w:next w:val="1270"/>
    <w:uiPriority w:val="0"/>
    <w:qFormat/>
    <w:pPr>
      <w:numPr>
        <w:ilvl w:val="0"/>
        <w:numId w:val="1"/>
      </w:numPr>
      <w:keepLines/>
      <w:keepNext/>
      <w:spacing w:before="260" w:after="260" w:line="416" w:lineRule="auto"/>
      <w:outlineLvl w:val="1"/>
    </w:pPr>
    <w:rPr>
      <w:rFonts w:ascii="Cambria" w:hAnsi="Cambria"/>
      <w:b/>
      <w:bCs/>
      <w:sz w:val="28"/>
      <w:szCs w:val="32"/>
    </w:rPr>
  </w:style>
  <w:style w:type="paragraph" w:styleId="1277" w:customStyle="1">
    <w:name w:val="正文111"/>
    <w:next w:val="1272"/>
    <w:uiPriority w:val="0"/>
    <w:qFormat/>
    <w:pPr>
      <w:jc w:val="both"/>
      <w:widowControl w:val="off"/>
    </w:pPr>
    <w:rPr>
      <w:rFonts w:ascii="Times New Roman" w:hAnsi="Times New Roman" w:eastAsia="宋体" w:cs="Times New Roman"/>
      <w:sz w:val="21"/>
      <w:szCs w:val="24"/>
      <w:lang w:val="en-US" w:eastAsia="zh-CN" w:bidi="ar-SA"/>
    </w:rPr>
  </w:style>
  <w:style w:type="paragraph" w:styleId="1278" w:customStyle="1">
    <w:name w:val="标题 11"/>
    <w:basedOn w:val="1270"/>
    <w:next w:val="1270"/>
    <w:link w:val="1283"/>
    <w:uiPriority w:val="0"/>
    <w:qFormat/>
    <w:pPr>
      <w:keepLines/>
      <w:keepNext/>
      <w:spacing w:before="340" w:after="330" w:line="578" w:lineRule="auto"/>
      <w:outlineLvl w:val="0"/>
    </w:pPr>
    <w:rPr>
      <w:b/>
      <w:bCs/>
      <w:sz w:val="44"/>
      <w:szCs w:val="44"/>
    </w:rPr>
  </w:style>
  <w:style w:type="paragraph" w:styleId="1279" w:customStyle="1">
    <w:name w:val="标题 211"/>
    <w:basedOn w:val="1270"/>
    <w:next w:val="1270"/>
    <w:link w:val="1284"/>
    <w:uiPriority w:val="0"/>
    <w:qFormat/>
    <w:pPr>
      <w:keepLines/>
      <w:keepNext/>
      <w:spacing w:before="260" w:after="260" w:line="416" w:lineRule="auto"/>
      <w:outlineLvl w:val="1"/>
    </w:pPr>
    <w:rPr>
      <w:rFonts w:ascii="Calibri Light" w:hAnsi="Calibri Light"/>
      <w:b/>
      <w:bCs/>
      <w:sz w:val="32"/>
      <w:szCs w:val="32"/>
    </w:rPr>
  </w:style>
  <w:style w:type="paragraph" w:styleId="1280" w:customStyle="1">
    <w:name w:val="标题 31"/>
    <w:basedOn w:val="1270"/>
    <w:next w:val="1270"/>
    <w:uiPriority w:val="0"/>
    <w:qFormat/>
    <w:pPr>
      <w:keepLines/>
      <w:keepNext/>
      <w:spacing w:line="360" w:lineRule="auto"/>
      <w:outlineLvl w:val="2"/>
    </w:pPr>
    <w:rPr>
      <w:rFonts w:eastAsia="黑体"/>
      <w:b/>
      <w:bCs/>
      <w:sz w:val="21"/>
      <w:szCs w:val="32"/>
    </w:rPr>
  </w:style>
  <w:style w:type="character" w:styleId="1281" w:customStyle="1">
    <w:name w:val="默认段落字体1"/>
    <w:uiPriority w:val="0"/>
    <w:qFormat/>
  </w:style>
  <w:style w:type="table" w:styleId="1282" w:customStyle="1">
    <w:name w:val="普通表格1"/>
    <w:uiPriority w:val="0"/>
    <w:qFormat/>
    <w:tblPr>
      <w:tblCellMar>
        <w:left w:w="0" w:type="dxa"/>
        <w:top w:w="0" w:type="dxa"/>
        <w:right w:w="0" w:type="dxa"/>
        <w:bottom w:w="0" w:type="dxa"/>
      </w:tblCellMar>
    </w:tblPr>
  </w:style>
  <w:style w:type="character" w:styleId="1283" w:customStyle="1">
    <w:name w:val="标题 1 Char"/>
    <w:link w:val="1278"/>
    <w:uiPriority w:val="0"/>
    <w:qFormat/>
    <w:rPr>
      <w:b/>
      <w:bCs/>
      <w:sz w:val="44"/>
      <w:szCs w:val="44"/>
    </w:rPr>
  </w:style>
  <w:style w:type="character" w:styleId="1284" w:customStyle="1">
    <w:name w:val="标题 2 Char"/>
    <w:link w:val="1279"/>
    <w:uiPriority w:val="0"/>
    <w:qFormat/>
    <w:rPr>
      <w:rFonts w:ascii="Calibri Light" w:hAnsi="Calibri Light" w:eastAsia="宋体"/>
      <w:b/>
      <w:bCs/>
      <w:sz w:val="32"/>
      <w:szCs w:val="32"/>
    </w:rPr>
  </w:style>
  <w:style w:type="paragraph" w:styleId="1285" w:customStyle="1">
    <w:name w:val="正文缩进1"/>
    <w:basedOn w:val="1270"/>
    <w:uiPriority w:val="0"/>
    <w:qFormat/>
    <w:pPr>
      <w:ind w:firstLine="420"/>
    </w:pPr>
    <w:rPr>
      <w:sz w:val="21"/>
      <w:szCs w:val="21"/>
    </w:rPr>
  </w:style>
  <w:style w:type="paragraph" w:styleId="1286" w:customStyle="1">
    <w:name w:val="批注文字1"/>
    <w:basedOn w:val="1270"/>
    <w:link w:val="1287"/>
    <w:uiPriority w:val="0"/>
    <w:semiHidden/>
    <w:qFormat/>
    <w:pPr>
      <w:jc w:val="left"/>
    </w:pPr>
    <w:rPr>
      <w:sz w:val="21"/>
    </w:rPr>
  </w:style>
  <w:style w:type="character" w:styleId="1287" w:customStyle="1">
    <w:name w:val="批注文字 Char"/>
    <w:link w:val="1286"/>
    <w:uiPriority w:val="0"/>
    <w:semiHidden/>
    <w:qFormat/>
    <w:rPr>
      <w:sz w:val="21"/>
    </w:rPr>
  </w:style>
  <w:style w:type="paragraph" w:styleId="1288" w:customStyle="1">
    <w:name w:val="正文文本11"/>
    <w:basedOn w:val="1270"/>
    <w:next w:val="1270"/>
    <w:link w:val="1289"/>
    <w:uiPriority w:val="0"/>
    <w:qFormat/>
    <w:pPr>
      <w:spacing w:after="120"/>
    </w:pPr>
  </w:style>
  <w:style w:type="character" w:styleId="1289" w:customStyle="1">
    <w:name w:val="正文文本 Char"/>
    <w:link w:val="1288"/>
    <w:uiPriority w:val="0"/>
    <w:qFormat/>
  </w:style>
  <w:style w:type="paragraph" w:styleId="1290" w:customStyle="1">
    <w:name w:val="日期1"/>
    <w:basedOn w:val="1270"/>
    <w:next w:val="1270"/>
    <w:link w:val="1291"/>
    <w:uiPriority w:val="0"/>
    <w:qFormat/>
    <w:pPr>
      <w:ind w:left="100"/>
    </w:pPr>
  </w:style>
  <w:style w:type="character" w:styleId="1291" w:customStyle="1">
    <w:name w:val="日期 Char"/>
    <w:link w:val="1290"/>
    <w:uiPriority w:val="0"/>
    <w:semiHidden/>
    <w:qFormat/>
    <w:rPr>
      <w:sz w:val="20"/>
    </w:rPr>
  </w:style>
  <w:style w:type="paragraph" w:styleId="1292" w:customStyle="1">
    <w:name w:val="批注框文本1"/>
    <w:basedOn w:val="1270"/>
    <w:link w:val="1293"/>
    <w:uiPriority w:val="0"/>
    <w:qFormat/>
    <w:rPr>
      <w:sz w:val="18"/>
      <w:szCs w:val="18"/>
    </w:rPr>
  </w:style>
  <w:style w:type="character" w:styleId="1293" w:customStyle="1">
    <w:name w:val="批注框文本 Char"/>
    <w:link w:val="1292"/>
    <w:uiPriority w:val="0"/>
    <w:semiHidden/>
    <w:qFormat/>
    <w:rPr>
      <w:sz w:val="18"/>
      <w:szCs w:val="18"/>
    </w:rPr>
  </w:style>
  <w:style w:type="paragraph" w:styleId="1294" w:customStyle="1">
    <w:name w:val="页脚1"/>
    <w:basedOn w:val="1270"/>
    <w:link w:val="1295"/>
    <w:uiPriority w:val="0"/>
    <w:qFormat/>
    <w:pPr>
      <w:jc w:val="left"/>
      <w:tabs>
        <w:tab w:val="right" w:pos="4153" w:leader="none"/>
        <w:tab w:val="left" w:pos="8306" w:leader="underscore"/>
      </w:tabs>
    </w:pPr>
    <w:rPr>
      <w:sz w:val="18"/>
    </w:rPr>
  </w:style>
  <w:style w:type="character" w:styleId="1295" w:customStyle="1">
    <w:name w:val="页脚 Char"/>
    <w:link w:val="1294"/>
    <w:uiPriority w:val="0"/>
    <w:qFormat/>
    <w:rPr>
      <w:sz w:val="18"/>
    </w:rPr>
  </w:style>
  <w:style w:type="paragraph" w:styleId="1296" w:customStyle="1">
    <w:name w:val="页眉1"/>
    <w:basedOn w:val="1270"/>
    <w:link w:val="1297"/>
    <w:uiPriority w:val="0"/>
    <w:qFormat/>
    <w:pPr>
      <w:jc w:val="center"/>
      <w:tabs>
        <w:tab w:val="right" w:pos="4153" w:leader="none"/>
        <w:tab w:val="left" w:pos="8306" w:leader="underscore"/>
      </w:tabs>
      <w:pBdr>
        <w:bottom w:val="single" w:color="000000" w:sz="6" w:space="1"/>
      </w:pBdr>
    </w:pPr>
    <w:rPr>
      <w:sz w:val="18"/>
      <w:szCs w:val="18"/>
    </w:rPr>
  </w:style>
  <w:style w:type="character" w:styleId="1297" w:customStyle="1">
    <w:name w:val="页眉 Char"/>
    <w:link w:val="1296"/>
    <w:uiPriority w:val="0"/>
    <w:qFormat/>
    <w:rPr>
      <w:sz w:val="18"/>
      <w:szCs w:val="18"/>
    </w:rPr>
  </w:style>
  <w:style w:type="paragraph" w:styleId="1298" w:customStyle="1">
    <w:name w:val="目录 11"/>
    <w:basedOn w:val="1270"/>
    <w:next w:val="1270"/>
    <w:uiPriority w:val="0"/>
    <w:qFormat/>
  </w:style>
  <w:style w:type="paragraph" w:styleId="1299" w:customStyle="1">
    <w:name w:val="副标题1"/>
    <w:basedOn w:val="1270"/>
    <w:next w:val="1270"/>
    <w:uiPriority w:val="0"/>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300" w:customStyle="1">
    <w:name w:val="目录 21"/>
    <w:basedOn w:val="1270"/>
    <w:next w:val="1270"/>
    <w:uiPriority w:val="0"/>
    <w:qFormat/>
    <w:pPr>
      <w:ind w:left="420"/>
    </w:pPr>
  </w:style>
  <w:style w:type="paragraph" w:styleId="1301" w:customStyle="1">
    <w:name w:val="普通(网站)1"/>
    <w:basedOn w:val="1270"/>
    <w:uiPriority w:val="0"/>
    <w:qFormat/>
    <w:pPr>
      <w:jc w:val="left"/>
      <w:spacing w:before="100" w:beforeAutospacing="1" w:after="100" w:afterAutospacing="1"/>
    </w:pPr>
    <w:rPr>
      <w:rFonts w:ascii="宋体" w:hAnsi="宋体"/>
      <w:sz w:val="24"/>
      <w:szCs w:val="24"/>
    </w:rPr>
  </w:style>
  <w:style w:type="paragraph" w:styleId="1302" w:customStyle="1">
    <w:name w:val="批注主题1"/>
    <w:basedOn w:val="1286"/>
    <w:next w:val="1286"/>
    <w:link w:val="1303"/>
    <w:uiPriority w:val="0"/>
    <w:qFormat/>
    <w:rPr>
      <w:b/>
      <w:bCs/>
    </w:rPr>
  </w:style>
  <w:style w:type="character" w:styleId="1303" w:customStyle="1">
    <w:name w:val="批注主题 Char"/>
    <w:link w:val="1302"/>
    <w:uiPriority w:val="0"/>
    <w:semiHidden/>
    <w:qFormat/>
    <w:rPr>
      <w:b/>
      <w:bCs/>
      <w:sz w:val="21"/>
    </w:rPr>
  </w:style>
  <w:style w:type="paragraph" w:styleId="1304" w:customStyle="1">
    <w:name w:val="正文首行缩进1"/>
    <w:basedOn w:val="1288"/>
    <w:link w:val="1305"/>
    <w:uiPriority w:val="0"/>
    <w:qFormat/>
    <w:pPr>
      <w:ind w:firstLine="420"/>
      <w:widowControl w:val="off"/>
    </w:pPr>
    <w:rPr>
      <w:sz w:val="21"/>
    </w:rPr>
  </w:style>
  <w:style w:type="character" w:styleId="1305" w:customStyle="1">
    <w:name w:val="正文首行缩进 Char"/>
    <w:link w:val="1304"/>
    <w:uiPriority w:val="0"/>
    <w:qFormat/>
    <w:rPr>
      <w:sz w:val="21"/>
    </w:rPr>
  </w:style>
  <w:style w:type="table" w:styleId="1306" w:customStyle="1">
    <w:name w:val="网格型1"/>
    <w:basedOn w:val="1282"/>
    <w:uiPriority w:val="0"/>
    <w:qFormat/>
    <w:pPr>
      <w:jc w:val="both"/>
      <w:widowControl w:val="off"/>
    </w:pPr>
    <w:tblPr/>
  </w:style>
  <w:style w:type="character" w:styleId="1307" w:customStyle="1">
    <w:name w:val="要点1"/>
    <w:uiPriority w:val="0"/>
    <w:qFormat/>
    <w:rPr>
      <w:b/>
      <w:sz w:val="21"/>
    </w:rPr>
  </w:style>
  <w:style w:type="character" w:styleId="1308" w:customStyle="1">
    <w:name w:val="页码1"/>
    <w:uiPriority w:val="0"/>
    <w:qFormat/>
  </w:style>
  <w:style w:type="character" w:styleId="1309" w:customStyle="1">
    <w:name w:val="强调1"/>
    <w:uiPriority w:val="0"/>
    <w:qFormat/>
    <w:rPr>
      <w:i/>
      <w:sz w:val="20"/>
    </w:rPr>
  </w:style>
  <w:style w:type="character" w:styleId="1310" w:customStyle="1">
    <w:name w:val="超链接1"/>
    <w:uiPriority w:val="0"/>
    <w:qFormat/>
    <w:rPr>
      <w:color w:val="0000ff"/>
      <w:sz w:val="20"/>
      <w:u w:val="single"/>
    </w:rPr>
  </w:style>
  <w:style w:type="character" w:styleId="1311" w:customStyle="1">
    <w:name w:val="批注引用1"/>
    <w:uiPriority w:val="0"/>
    <w:qFormat/>
    <w:rPr>
      <w:sz w:val="21"/>
      <w:szCs w:val="21"/>
    </w:rPr>
  </w:style>
  <w:style w:type="character" w:styleId="1312" w:customStyle="1">
    <w:name w:val="NormalCharacter"/>
    <w:uiPriority w:val="0"/>
    <w:semiHidden/>
    <w:qFormat/>
    <w:rPr>
      <w:lang w:val="en-US" w:eastAsia="zh-CN" w:bidi="ar-SA"/>
    </w:rPr>
  </w:style>
  <w:style w:type="character" w:styleId="1313" w:customStyle="1">
    <w:name w:val="UserStyle_19"/>
    <w:uiPriority w:val="0"/>
    <w:qFormat/>
    <w:rPr>
      <w:b/>
      <w:sz w:val="20"/>
    </w:rPr>
  </w:style>
  <w:style w:type="character" w:styleId="1314" w:customStyle="1">
    <w:name w:val="263"/>
    <w:uiPriority w:val="0"/>
    <w:qFormat/>
    <w:rPr>
      <w:b/>
      <w:color w:val="c0504d"/>
      <w:sz w:val="20"/>
      <w:u w:val="single"/>
    </w:rPr>
  </w:style>
  <w:style w:type="character" w:styleId="1315" w:customStyle="1">
    <w:name w:val="UserStyle_47"/>
    <w:uiPriority w:val="0"/>
    <w:qFormat/>
    <w:rPr>
      <w:sz w:val="20"/>
    </w:rPr>
  </w:style>
  <w:style w:type="character" w:styleId="1316" w:customStyle="1">
    <w:name w:val="UserStyle_43"/>
    <w:uiPriority w:val="0"/>
    <w:qFormat/>
    <w:rPr>
      <w:sz w:val="20"/>
    </w:rPr>
  </w:style>
  <w:style w:type="character" w:styleId="1317" w:customStyle="1">
    <w:name w:val="UserStyle_37"/>
    <w:uiPriority w:val="0"/>
    <w:qFormat/>
    <w:rPr>
      <w:b/>
      <w:sz w:val="20"/>
    </w:rPr>
  </w:style>
  <w:style w:type="character" w:styleId="1318" w:customStyle="1">
    <w:name w:val="UserStyle_70"/>
    <w:uiPriority w:val="0"/>
    <w:qFormat/>
    <w:rPr>
      <w:sz w:val="20"/>
    </w:rPr>
  </w:style>
  <w:style w:type="character" w:styleId="1319" w:customStyle="1">
    <w:name w:val="UserStyle_55"/>
    <w:uiPriority w:val="0"/>
    <w:qFormat/>
    <w:rPr>
      <w:sz w:val="20"/>
    </w:rPr>
  </w:style>
  <w:style w:type="character" w:styleId="1320" w:customStyle="1">
    <w:name w:val="UserStyle_0"/>
    <w:link w:val="1321"/>
    <w:uiPriority w:val="0"/>
    <w:semiHidden/>
    <w:qFormat/>
    <w:rPr>
      <w:rFonts w:ascii="Courier New" w:hAnsi="Courier New"/>
      <w:sz w:val="20"/>
    </w:rPr>
  </w:style>
  <w:style w:type="paragraph" w:styleId="1321" w:customStyle="1">
    <w:name w:val="HtmlPre"/>
    <w:basedOn w:val="1270"/>
    <w:link w:val="1320"/>
    <w:uiPriority w:val="0"/>
    <w:qFormat/>
    <w:rPr>
      <w:rFonts w:ascii="Courier New" w:hAnsi="Courier New"/>
    </w:rPr>
  </w:style>
  <w:style w:type="character" w:styleId="1322" w:customStyle="1">
    <w:name w:val="UserStyle_18"/>
    <w:uiPriority w:val="0"/>
    <w:semiHidden/>
    <w:qFormat/>
    <w:rPr>
      <w:sz w:val="20"/>
    </w:rPr>
  </w:style>
  <w:style w:type="character" w:styleId="1323" w:customStyle="1">
    <w:name w:val="UserStyle_56"/>
    <w:uiPriority w:val="0"/>
    <w:qFormat/>
    <w:rPr>
      <w:sz w:val="20"/>
    </w:rPr>
  </w:style>
  <w:style w:type="character" w:styleId="1324" w:customStyle="1">
    <w:name w:val="262"/>
    <w:uiPriority w:val="0"/>
    <w:qFormat/>
    <w:rPr>
      <w:color w:val="c0504d"/>
      <w:sz w:val="20"/>
      <w:u w:val="single"/>
    </w:rPr>
  </w:style>
  <w:style w:type="character" w:styleId="1325" w:customStyle="1">
    <w:name w:val="UserStyle_46"/>
    <w:uiPriority w:val="0"/>
    <w:qFormat/>
    <w:rPr>
      <w:sz w:val="20"/>
    </w:rPr>
  </w:style>
  <w:style w:type="character" w:styleId="1326" w:customStyle="1">
    <w:name w:val="UserStyle_74"/>
    <w:uiPriority w:val="0"/>
    <w:qFormat/>
    <w:rPr>
      <w:b/>
      <w:sz w:val="20"/>
    </w:rPr>
  </w:style>
  <w:style w:type="character" w:styleId="1327" w:customStyle="1">
    <w:name w:val="UserStyle_71"/>
    <w:uiPriority w:val="0"/>
    <w:qFormat/>
    <w:rPr>
      <w:sz w:val="20"/>
    </w:rPr>
  </w:style>
  <w:style w:type="character" w:styleId="1328" w:customStyle="1">
    <w:name w:val="UserStyle_72"/>
    <w:uiPriority w:val="0"/>
    <w:qFormat/>
    <w:rPr>
      <w:sz w:val="20"/>
    </w:rPr>
  </w:style>
  <w:style w:type="character" w:styleId="1329" w:customStyle="1">
    <w:name w:val="UserStyle_7"/>
    <w:uiPriority w:val="0"/>
    <w:qFormat/>
    <w:rPr>
      <w:i/>
      <w:sz w:val="20"/>
    </w:rPr>
  </w:style>
  <w:style w:type="character" w:styleId="1330" w:customStyle="1">
    <w:name w:val="UserStyle_68"/>
    <w:uiPriority w:val="0"/>
    <w:qFormat/>
    <w:rPr>
      <w:sz w:val="20"/>
    </w:rPr>
  </w:style>
  <w:style w:type="character" w:styleId="1331" w:customStyle="1">
    <w:name w:val="UserStyle_25"/>
    <w:uiPriority w:val="0"/>
    <w:qFormat/>
    <w:rPr>
      <w:sz w:val="20"/>
    </w:rPr>
  </w:style>
  <w:style w:type="character" w:styleId="1332" w:customStyle="1">
    <w:name w:val="UserStyle_66"/>
    <w:uiPriority w:val="0"/>
    <w:qFormat/>
    <w:rPr>
      <w:sz w:val="20"/>
    </w:rPr>
  </w:style>
  <w:style w:type="character" w:styleId="1333" w:customStyle="1">
    <w:name w:val="UserStyle_38"/>
    <w:uiPriority w:val="0"/>
    <w:qFormat/>
    <w:rPr>
      <w:sz w:val="20"/>
    </w:rPr>
  </w:style>
  <w:style w:type="character" w:styleId="1334" w:customStyle="1">
    <w:name w:val="UserStyle_17"/>
    <w:uiPriority w:val="0"/>
    <w:qFormat/>
    <w:rPr>
      <w:sz w:val="20"/>
    </w:rPr>
  </w:style>
  <w:style w:type="character" w:styleId="1335" w:customStyle="1">
    <w:name w:val="UserStyle_33"/>
    <w:uiPriority w:val="0"/>
    <w:qFormat/>
    <w:rPr>
      <w:sz w:val="20"/>
    </w:rPr>
  </w:style>
  <w:style w:type="character" w:styleId="1336" w:customStyle="1">
    <w:name w:val="UserStyle_45"/>
    <w:uiPriority w:val="0"/>
    <w:qFormat/>
    <w:rPr>
      <w:b/>
      <w:sz w:val="20"/>
    </w:rPr>
  </w:style>
  <w:style w:type="character" w:styleId="1337" w:customStyle="1">
    <w:name w:val="UserStyle_57"/>
    <w:uiPriority w:val="0"/>
    <w:qFormat/>
    <w:rPr>
      <w:sz w:val="20"/>
    </w:rPr>
  </w:style>
  <w:style w:type="character" w:styleId="1338" w:customStyle="1">
    <w:name w:val="UserStyle_63"/>
    <w:uiPriority w:val="0"/>
    <w:qFormat/>
    <w:rPr>
      <w:sz w:val="20"/>
    </w:rPr>
  </w:style>
  <w:style w:type="character" w:styleId="1339" w:customStyle="1">
    <w:name w:val="UserStyle_75"/>
    <w:uiPriority w:val="0"/>
    <w:qFormat/>
    <w:rPr>
      <w:sz w:val="20"/>
    </w:rPr>
  </w:style>
  <w:style w:type="character" w:styleId="1340" w:customStyle="1">
    <w:name w:val="UserStyle_23"/>
    <w:uiPriority w:val="0"/>
    <w:qFormat/>
    <w:rPr>
      <w:color w:val="000000"/>
      <w:sz w:val="20"/>
    </w:rPr>
  </w:style>
  <w:style w:type="character" w:styleId="1341" w:customStyle="1">
    <w:name w:val="UserStyle_65"/>
    <w:uiPriority w:val="0"/>
    <w:qFormat/>
    <w:rPr>
      <w:sz w:val="20"/>
    </w:rPr>
  </w:style>
  <w:style w:type="character" w:styleId="1342" w:customStyle="1">
    <w:name w:val="UserStyle_24"/>
    <w:uiPriority w:val="0"/>
    <w:qFormat/>
    <w:rPr>
      <w:sz w:val="20"/>
    </w:rPr>
  </w:style>
  <w:style w:type="character" w:styleId="1343" w:customStyle="1">
    <w:name w:val="UserStyle_50"/>
    <w:uiPriority w:val="0"/>
    <w:qFormat/>
    <w:rPr>
      <w:sz w:val="20"/>
    </w:rPr>
  </w:style>
  <w:style w:type="character" w:styleId="1344" w:customStyle="1">
    <w:name w:val="UserStyle_44"/>
    <w:uiPriority w:val="0"/>
    <w:qFormat/>
    <w:rPr>
      <w:b/>
      <w:sz w:val="20"/>
    </w:rPr>
  </w:style>
  <w:style w:type="character" w:styleId="1345" w:customStyle="1">
    <w:name w:val="UserStyle_51"/>
    <w:uiPriority w:val="0"/>
    <w:qFormat/>
    <w:rPr>
      <w:sz w:val="20"/>
    </w:rPr>
  </w:style>
  <w:style w:type="character" w:styleId="1346" w:customStyle="1">
    <w:name w:val="UserStyle_4"/>
    <w:uiPriority w:val="0"/>
    <w:qFormat/>
    <w:rPr>
      <w:sz w:val="20"/>
    </w:rPr>
  </w:style>
  <w:style w:type="character" w:styleId="1347" w:customStyle="1">
    <w:name w:val="UserStyle_52"/>
    <w:uiPriority w:val="0"/>
    <w:semiHidden/>
    <w:qFormat/>
    <w:rPr>
      <w:sz w:val="20"/>
    </w:rPr>
  </w:style>
  <w:style w:type="character" w:styleId="1348" w:customStyle="1">
    <w:name w:val="UserStyle_3"/>
    <w:uiPriority w:val="0"/>
    <w:qFormat/>
    <w:rPr>
      <w:sz w:val="20"/>
    </w:rPr>
  </w:style>
  <w:style w:type="character" w:styleId="1349" w:customStyle="1">
    <w:name w:val="UserStyle_67"/>
    <w:uiPriority w:val="0"/>
    <w:qFormat/>
    <w:rPr>
      <w:b/>
      <w:sz w:val="20"/>
    </w:rPr>
  </w:style>
  <w:style w:type="character" w:styleId="1350" w:customStyle="1">
    <w:name w:val="UserStyle_61"/>
    <w:uiPriority w:val="0"/>
    <w:qFormat/>
    <w:rPr>
      <w:b/>
      <w:sz w:val="20"/>
    </w:rPr>
  </w:style>
  <w:style w:type="character" w:styleId="1351" w:customStyle="1">
    <w:name w:val="UserStyle_36"/>
    <w:uiPriority w:val="0"/>
    <w:qFormat/>
    <w:rPr>
      <w:b/>
      <w:sz w:val="20"/>
    </w:rPr>
  </w:style>
  <w:style w:type="character" w:styleId="1352" w:customStyle="1">
    <w:name w:val="260"/>
    <w:uiPriority w:val="0"/>
    <w:qFormat/>
    <w:rPr>
      <w:i/>
      <w:color w:val="000000"/>
      <w:sz w:val="21"/>
    </w:rPr>
  </w:style>
  <w:style w:type="character" w:styleId="1353" w:customStyle="1">
    <w:name w:val="PageNumber"/>
    <w:uiPriority w:val="0"/>
    <w:qFormat/>
    <w:rPr>
      <w:sz w:val="20"/>
    </w:rPr>
  </w:style>
  <w:style w:type="character" w:styleId="1354" w:customStyle="1">
    <w:name w:val="UserStyle_1"/>
    <w:uiPriority w:val="0"/>
    <w:qFormat/>
    <w:rPr>
      <w:sz w:val="20"/>
    </w:rPr>
  </w:style>
  <w:style w:type="character" w:styleId="1355" w:customStyle="1">
    <w:name w:val="UserStyle_64"/>
    <w:uiPriority w:val="0"/>
    <w:qFormat/>
    <w:rPr>
      <w:sz w:val="20"/>
    </w:rPr>
  </w:style>
  <w:style w:type="character" w:styleId="1356" w:customStyle="1">
    <w:name w:val="UserStyle_21"/>
    <w:uiPriority w:val="0"/>
    <w:qFormat/>
    <w:rPr>
      <w:sz w:val="20"/>
    </w:rPr>
  </w:style>
  <w:style w:type="character" w:styleId="1357" w:customStyle="1">
    <w:name w:val="UserStyle_9"/>
    <w:uiPriority w:val="0"/>
    <w:qFormat/>
    <w:rPr>
      <w:sz w:val="20"/>
    </w:rPr>
  </w:style>
  <w:style w:type="character" w:styleId="1358" w:customStyle="1">
    <w:name w:val="UserStyle_40"/>
    <w:uiPriority w:val="0"/>
    <w:qFormat/>
    <w:rPr>
      <w:b/>
      <w:sz w:val="20"/>
    </w:rPr>
  </w:style>
  <w:style w:type="character" w:styleId="1359" w:customStyle="1">
    <w:name w:val="UserStyle_73"/>
    <w:uiPriority w:val="0"/>
    <w:qFormat/>
    <w:rPr>
      <w:sz w:val="20"/>
    </w:rPr>
  </w:style>
  <w:style w:type="character" w:styleId="1360" w:customStyle="1">
    <w:name w:val="UserStyle_30"/>
    <w:uiPriority w:val="0"/>
    <w:qFormat/>
    <w:rPr>
      <w:sz w:val="20"/>
    </w:rPr>
  </w:style>
  <w:style w:type="character" w:styleId="1361" w:customStyle="1">
    <w:name w:val="UserStyle_69"/>
    <w:uiPriority w:val="0"/>
    <w:qFormat/>
    <w:rPr>
      <w:b/>
      <w:sz w:val="20"/>
    </w:rPr>
  </w:style>
  <w:style w:type="character" w:styleId="1362" w:customStyle="1">
    <w:name w:val="UserStyle_13"/>
    <w:uiPriority w:val="0"/>
    <w:qFormat/>
    <w:rPr>
      <w:b/>
      <w:sz w:val="20"/>
    </w:rPr>
  </w:style>
  <w:style w:type="character" w:styleId="1363" w:customStyle="1">
    <w:name w:val="UserStyle_14"/>
    <w:uiPriority w:val="0"/>
    <w:semiHidden/>
    <w:qFormat/>
    <w:rPr>
      <w:sz w:val="20"/>
    </w:rPr>
  </w:style>
  <w:style w:type="character" w:styleId="1364" w:customStyle="1">
    <w:name w:val="UserStyle_22"/>
    <w:uiPriority w:val="0"/>
    <w:qFormat/>
    <w:rPr>
      <w:color w:val="0000ff"/>
      <w:sz w:val="20"/>
      <w:u w:val="single"/>
    </w:rPr>
  </w:style>
  <w:style w:type="character" w:styleId="1365" w:customStyle="1">
    <w:name w:val="UserStyle_8"/>
    <w:uiPriority w:val="0"/>
    <w:qFormat/>
    <w:rPr>
      <w:sz w:val="20"/>
    </w:rPr>
  </w:style>
  <w:style w:type="character" w:styleId="1366" w:customStyle="1">
    <w:name w:val="UserStyle_6"/>
    <w:uiPriority w:val="0"/>
    <w:qFormat/>
    <w:rPr>
      <w:b/>
      <w:sz w:val="20"/>
    </w:rPr>
  </w:style>
  <w:style w:type="character" w:styleId="1367" w:customStyle="1">
    <w:name w:val="UserStyle_62"/>
    <w:uiPriority w:val="0"/>
    <w:qFormat/>
    <w:rPr>
      <w:color w:val="ffff00"/>
      <w:sz w:val="20"/>
    </w:rPr>
  </w:style>
  <w:style w:type="character" w:styleId="1368" w:customStyle="1">
    <w:name w:val="UserStyle_48"/>
    <w:uiPriority w:val="0"/>
    <w:qFormat/>
    <w:rPr>
      <w:sz w:val="20"/>
    </w:rPr>
  </w:style>
  <w:style w:type="character" w:styleId="1369" w:customStyle="1">
    <w:name w:val="UserStyle_15"/>
    <w:uiPriority w:val="0"/>
    <w:qFormat/>
    <w:rPr>
      <w:b/>
      <w:sz w:val="20"/>
    </w:rPr>
  </w:style>
  <w:style w:type="character" w:styleId="1370" w:customStyle="1">
    <w:name w:val="UserStyle_49"/>
    <w:uiPriority w:val="0"/>
    <w:qFormat/>
    <w:rPr>
      <w:sz w:val="20"/>
    </w:rPr>
  </w:style>
  <w:style w:type="character" w:styleId="1371" w:customStyle="1">
    <w:name w:val="UserStyle_11"/>
    <w:uiPriority w:val="0"/>
    <w:qFormat/>
    <w:rPr>
      <w:sz w:val="20"/>
    </w:rPr>
  </w:style>
  <w:style w:type="character" w:styleId="1372" w:customStyle="1">
    <w:name w:val="UserStyle_34"/>
    <w:uiPriority w:val="0"/>
    <w:qFormat/>
    <w:rPr>
      <w:b/>
      <w:sz w:val="20"/>
    </w:rPr>
  </w:style>
  <w:style w:type="character" w:styleId="1373" w:customStyle="1">
    <w:name w:val="UserStyle_29"/>
    <w:uiPriority w:val="0"/>
    <w:qFormat/>
    <w:rPr>
      <w:sz w:val="20"/>
    </w:rPr>
  </w:style>
  <w:style w:type="character" w:styleId="1374" w:customStyle="1">
    <w:name w:val="UserStyle_42"/>
    <w:uiPriority w:val="0"/>
    <w:qFormat/>
    <w:rPr>
      <w:sz w:val="20"/>
    </w:rPr>
  </w:style>
  <w:style w:type="character" w:styleId="1375" w:customStyle="1">
    <w:name w:val="UserStyle_39"/>
    <w:uiPriority w:val="0"/>
    <w:qFormat/>
    <w:rPr>
      <w:sz w:val="20"/>
    </w:rPr>
  </w:style>
  <w:style w:type="character" w:styleId="1376" w:customStyle="1">
    <w:name w:val="UserStyle_35"/>
    <w:uiPriority w:val="0"/>
    <w:qFormat/>
    <w:rPr>
      <w:sz w:val="20"/>
    </w:rPr>
  </w:style>
  <w:style w:type="character" w:styleId="1377" w:customStyle="1">
    <w:name w:val="UserStyle_5"/>
    <w:uiPriority w:val="0"/>
    <w:qFormat/>
    <w:rPr>
      <w:sz w:val="20"/>
    </w:rPr>
  </w:style>
  <w:style w:type="character" w:styleId="1378" w:customStyle="1">
    <w:name w:val="UserStyle_26"/>
    <w:uiPriority w:val="0"/>
    <w:qFormat/>
    <w:rPr>
      <w:sz w:val="20"/>
    </w:rPr>
  </w:style>
  <w:style w:type="character" w:styleId="1379" w:customStyle="1">
    <w:name w:val="264"/>
    <w:uiPriority w:val="0"/>
    <w:qFormat/>
    <w:rPr>
      <w:b/>
      <w:i/>
      <w:sz w:val="21"/>
    </w:rPr>
  </w:style>
  <w:style w:type="character" w:styleId="1380" w:customStyle="1">
    <w:name w:val="UserStyle_76"/>
    <w:uiPriority w:val="0"/>
    <w:qFormat/>
    <w:rPr>
      <w:b/>
      <w:sz w:val="20"/>
    </w:rPr>
  </w:style>
  <w:style w:type="character" w:styleId="1381" w:customStyle="1">
    <w:name w:val="UserStyle_10"/>
    <w:uiPriority w:val="0"/>
    <w:qFormat/>
    <w:rPr>
      <w:b/>
      <w:sz w:val="20"/>
    </w:rPr>
  </w:style>
  <w:style w:type="character" w:styleId="1382" w:customStyle="1">
    <w:name w:val="UserStyle_32"/>
    <w:uiPriority w:val="0"/>
    <w:qFormat/>
    <w:rPr>
      <w:i/>
      <w:sz w:val="20"/>
    </w:rPr>
  </w:style>
  <w:style w:type="character" w:styleId="1383" w:customStyle="1">
    <w:name w:val="UserStyle_53"/>
    <w:uiPriority w:val="0"/>
    <w:qFormat/>
    <w:rPr>
      <w:sz w:val="20"/>
    </w:rPr>
  </w:style>
  <w:style w:type="character" w:styleId="1384" w:customStyle="1">
    <w:name w:val="UserStyle_2"/>
    <w:uiPriority w:val="0"/>
    <w:qFormat/>
    <w:rPr>
      <w:sz w:val="20"/>
    </w:rPr>
  </w:style>
  <w:style w:type="character" w:styleId="1385" w:customStyle="1">
    <w:name w:val="UserStyle_58"/>
    <w:uiPriority w:val="0"/>
    <w:qFormat/>
    <w:rPr>
      <w:sz w:val="20"/>
    </w:rPr>
  </w:style>
  <w:style w:type="character" w:styleId="1386" w:customStyle="1">
    <w:name w:val="UserStyle_60"/>
    <w:uiPriority w:val="0"/>
    <w:qFormat/>
    <w:rPr>
      <w:sz w:val="20"/>
    </w:rPr>
  </w:style>
  <w:style w:type="character" w:styleId="1387" w:customStyle="1">
    <w:name w:val="UserStyle_54"/>
    <w:uiPriority w:val="0"/>
    <w:qFormat/>
    <w:rPr>
      <w:b/>
      <w:sz w:val="20"/>
    </w:rPr>
  </w:style>
  <w:style w:type="character" w:styleId="1388" w:customStyle="1">
    <w:name w:val="UserStyle_16"/>
    <w:uiPriority w:val="0"/>
    <w:qFormat/>
    <w:rPr>
      <w:sz w:val="20"/>
    </w:rPr>
  </w:style>
  <w:style w:type="character" w:styleId="1389" w:customStyle="1">
    <w:name w:val="UserStyle_59"/>
    <w:uiPriority w:val="0"/>
    <w:qFormat/>
    <w:rPr>
      <w:b/>
      <w:sz w:val="20"/>
    </w:rPr>
  </w:style>
  <w:style w:type="character" w:styleId="1390" w:customStyle="1">
    <w:name w:val="UserStyle_20"/>
    <w:uiPriority w:val="0"/>
    <w:semiHidden/>
    <w:qFormat/>
    <w:rPr>
      <w:sz w:val="20"/>
    </w:rPr>
  </w:style>
  <w:style w:type="character" w:styleId="1391" w:customStyle="1">
    <w:name w:val="UserStyle_31"/>
    <w:uiPriority w:val="0"/>
    <w:qFormat/>
    <w:rPr>
      <w:b/>
      <w:sz w:val="20"/>
    </w:rPr>
  </w:style>
  <w:style w:type="character" w:styleId="1392" w:customStyle="1">
    <w:name w:val="AnnotationReference"/>
    <w:uiPriority w:val="0"/>
    <w:qFormat/>
    <w:rPr>
      <w:sz w:val="20"/>
    </w:rPr>
  </w:style>
  <w:style w:type="character" w:styleId="1393" w:customStyle="1">
    <w:name w:val="UserStyle_12"/>
    <w:uiPriority w:val="0"/>
    <w:qFormat/>
    <w:rPr>
      <w:sz w:val="20"/>
    </w:rPr>
  </w:style>
  <w:style w:type="character" w:styleId="1394" w:customStyle="1">
    <w:name w:val="261"/>
    <w:uiPriority w:val="0"/>
    <w:qFormat/>
    <w:rPr>
      <w:i/>
      <w:color w:val="000000"/>
      <w:sz w:val="21"/>
    </w:rPr>
  </w:style>
  <w:style w:type="character" w:styleId="1395" w:customStyle="1">
    <w:name w:val="UserStyle_41"/>
    <w:link w:val="1270"/>
    <w:uiPriority w:val="0"/>
    <w:qFormat/>
    <w:rPr>
      <w:sz w:val="20"/>
    </w:rPr>
  </w:style>
  <w:style w:type="paragraph" w:styleId="1396">
    <w:name w:val="List Paragraph"/>
    <w:basedOn w:val="1270"/>
    <w:uiPriority w:val="0"/>
    <w:qFormat/>
    <w:pPr>
      <w:ind w:left="533" w:firstLine="600"/>
      <w:jc w:val="left"/>
      <w:spacing w:before="136"/>
      <w:widowControl w:val="off"/>
    </w:pPr>
    <w:rPr>
      <w:rFonts w:ascii="仿宋" w:hAnsi="仿宋" w:eastAsia="仿宋"/>
      <w:sz w:val="22"/>
      <w:szCs w:val="22"/>
    </w:rPr>
  </w:style>
  <w:style w:type="paragraph" w:styleId="1397" w:customStyle="1">
    <w:name w:val="179"/>
    <w:basedOn w:val="1270"/>
    <w:uiPriority w:val="0"/>
    <w:qFormat/>
    <w:pPr>
      <w:ind w:firstLine="420"/>
    </w:pPr>
    <w:rPr>
      <w:sz w:val="21"/>
      <w:szCs w:val="22"/>
    </w:rPr>
  </w:style>
  <w:style w:type="paragraph" w:styleId="1398" w:customStyle="1">
    <w:name w:val="列出段落1"/>
    <w:basedOn w:val="1270"/>
    <w:uiPriority w:val="0"/>
    <w:qFormat/>
    <w:pPr>
      <w:ind w:firstLine="420"/>
      <w:widowControl w:val="off"/>
    </w:pPr>
    <w:rPr>
      <w:sz w:val="21"/>
      <w:szCs w:val="24"/>
    </w:rPr>
  </w:style>
  <w:style w:type="paragraph" w:styleId="1399" w:customStyle="1">
    <w:name w:val="正文 A A"/>
    <w:uiPriority w:val="0"/>
    <w:qFormat/>
    <w:pPr>
      <w:jc w:val="both"/>
      <w:spacing w:line="360" w:lineRule="atLeast"/>
      <w:widowControl w:val="off"/>
      <w:framePr w:wrap="around" w:vAnchor="margin" w:hAnchor="text" w:y="1"/>
    </w:pPr>
    <w:rPr>
      <w:rFonts w:ascii="Times New Roman" w:hAnsi="Times New Roman" w:eastAsia="宋体" w:cs="Times New Roman"/>
      <w:color w:val="000000"/>
      <w:lang w:val="en-US" w:eastAsia="zh-CN" w:bidi="ar-SA"/>
    </w:rPr>
  </w:style>
  <w:style w:type="paragraph" w:styleId="1400" w:customStyle="1">
    <w:name w:val="UserStyle_77"/>
    <w:basedOn w:val="1270"/>
    <w:uiPriority w:val="0"/>
    <w:qFormat/>
    <w:pPr>
      <w:ind w:firstLine="420"/>
      <w:spacing w:line="520" w:lineRule="exact"/>
    </w:pPr>
    <w:rPr>
      <w:color w:val="000000"/>
      <w:sz w:val="24"/>
      <w:szCs w:val="24"/>
    </w:rPr>
  </w:style>
  <w:style w:type="paragraph" w:styleId="1401" w:customStyle="1">
    <w:name w:val="Blockquote"/>
    <w:uiPriority w:val="0"/>
    <w:qFormat/>
    <w:pPr>
      <w:ind w:left="764" w:right="567"/>
      <w:spacing w:before="100" w:after="100"/>
      <w:widowControl w:val="off"/>
    </w:pPr>
    <w:rPr>
      <w:rFonts w:ascii="Times New Roman" w:hAnsi="Times New Roman" w:eastAsia="Times New Roman" w:cs="Times New Roman"/>
      <w:sz w:val="24"/>
      <w:szCs w:val="22"/>
      <w:lang w:val="en-US" w:eastAsia="zh-CN" w:bidi="ar-SA"/>
    </w:rPr>
  </w:style>
  <w:style w:type="paragraph" w:styleId="1402" w:customStyle="1">
    <w:name w:val="HtmlNormal"/>
    <w:basedOn w:val="1270"/>
    <w:uiPriority w:val="0"/>
    <w:qFormat/>
    <w:rPr>
      <w:sz w:val="24"/>
      <w:szCs w:val="24"/>
    </w:rPr>
  </w:style>
  <w:style w:type="paragraph" w:styleId="1403" w:customStyle="1">
    <w:name w:val="Table Paragraph"/>
    <w:basedOn w:val="1270"/>
    <w:uiPriority w:val="0"/>
    <w:qFormat/>
    <w:pPr>
      <w:jc w:val="left"/>
      <w:widowControl w:val="off"/>
    </w:pPr>
    <w:rPr>
      <w:rFonts w:ascii="仿宋" w:hAnsi="仿宋" w:eastAsia="仿宋"/>
      <w:sz w:val="22"/>
      <w:szCs w:val="22"/>
    </w:rPr>
  </w:style>
  <w:style w:type="paragraph" w:styleId="1404" w:customStyle="1">
    <w:name w:val="BlockQuote"/>
    <w:basedOn w:val="1270"/>
    <w:uiPriority w:val="0"/>
    <w:qFormat/>
    <w:pPr>
      <w:ind w:left="256" w:right="6" w:firstLine="624"/>
    </w:pPr>
    <w:rPr>
      <w:rFonts w:eastAsia="仿宋_GB2312"/>
      <w:sz w:val="28"/>
    </w:rPr>
  </w:style>
  <w:style w:type="table" w:styleId="1405" w:customStyle="1">
    <w:name w:val="TableNormal"/>
    <w:uiPriority w:val="0"/>
    <w:semiHidden/>
    <w:qFormat/>
    <w:tblPr>
      <w:tblCellMar>
        <w:left w:w="0" w:type="dxa"/>
        <w:top w:w="0" w:type="dxa"/>
        <w:right w:w="0" w:type="dxa"/>
        <w:bottom w:w="0" w:type="dxa"/>
      </w:tblCellMar>
    </w:tblPr>
  </w:style>
  <w:style w:type="paragraph" w:styleId="1406" w:customStyle="1">
    <w:name w:val="TOC 标题2"/>
    <w:basedOn w:val="1278"/>
    <w:next w:val="1270"/>
    <w:uiPriority w:val="0"/>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407"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408" w:customStyle="1">
    <w:name w:val="小标题 1"/>
    <w:basedOn w:val="1270"/>
    <w:uiPriority w:val="0"/>
    <w:qFormat/>
    <w:pPr>
      <w:spacing w:line="360" w:lineRule="atLeast"/>
      <w:widowControl w:val="off"/>
    </w:pPr>
    <w:rPr>
      <w:rFonts w:ascii="文鼎粗黑" w:eastAsia="文鼎粗黑"/>
      <w:sz w:val="22"/>
    </w:rPr>
  </w:style>
  <w:style w:type="paragraph" w:styleId="1409" w:customStyle="1">
    <w:name w:val="文档正文"/>
    <w:basedOn w:val="1270"/>
    <w:uiPriority w:val="0"/>
    <w:qFormat/>
    <w:pPr>
      <w:ind w:firstLine="567"/>
      <w:spacing w:line="312" w:lineRule="atLeast"/>
      <w:widowControl w:val="off"/>
    </w:pPr>
    <w:rPr>
      <w:rFonts w:ascii="长城仿宋" w:eastAsia="长城仿宋"/>
      <w:sz w:val="28"/>
    </w:rPr>
  </w:style>
  <w:style w:type="paragraph" w:styleId="1410" w:customStyle="1">
    <w:name w:val="[Normal]"/>
    <w:uiPriority w:val="0"/>
    <w:qFormat/>
    <w:rPr>
      <w:rFonts w:ascii="方正仿宋简体" w:hAnsi="方正仿宋简体" w:eastAsia="方正仿宋简体" w:cs="Times New Roman"/>
      <w:sz w:val="24"/>
      <w:szCs w:val="22"/>
      <w:lang w:val="zh-CN" w:eastAsia="zh-CN" w:bidi="ar-SA"/>
    </w:rPr>
  </w:style>
  <w:style w:type="paragraph" w:styleId="1411" w:customStyle="1">
    <w:name w:val="Body text|1"/>
    <w:basedOn w:val="1270"/>
    <w:uiPriority w:val="0"/>
    <w:qFormat/>
    <w:pPr>
      <w:ind w:firstLine="360"/>
      <w:spacing w:line="425" w:lineRule="auto"/>
      <w:widowControl w:val="off"/>
    </w:pPr>
    <w:rPr>
      <w:rFonts w:ascii="宋体" w:hAnsi="宋体"/>
      <w:sz w:val="18"/>
      <w:szCs w:val="18"/>
      <w:lang w:val="zh-TW" w:eastAsia="zh-TW" w:bidi="zh-TW"/>
    </w:rPr>
  </w:style>
  <w:style w:type="character" w:styleId="1412" w:customStyle="1">
    <w:name w:val="未处理的提及1"/>
    <w:uiPriority w:val="99"/>
    <w:semiHidden/>
    <w:unhideWhenUsed/>
    <w:qFormat/>
    <w:rPr>
      <w:color w:val="605e5c"/>
      <w:shd w:val="clear" w:color="auto" w:fill="e1dfdd"/>
    </w:rPr>
  </w:style>
  <w:style w:type="character" w:styleId="1413" w:customStyle="1">
    <w:name w:val="批注主题 字符"/>
    <w:link w:val="1086"/>
    <w:uiPriority w:val="0"/>
    <w:qFormat/>
    <w:rPr>
      <w:b/>
      <w:bCs/>
      <w:sz w:val="21"/>
      <w:szCs w:val="24"/>
    </w:rPr>
  </w:style>
  <w:style w:type="character" w:styleId="1414" w:customStyle="1">
    <w:name w:val="批注文字 字符"/>
    <w:link w:val="1064"/>
    <w:uiPriority w:val="99"/>
    <w:semiHidden/>
    <w:qFormat/>
    <w:rPr>
      <w:rFonts w:ascii="Calibri" w:hAnsi="Calibri"/>
      <w:sz w:val="21"/>
      <w:szCs w:val="21"/>
    </w:rPr>
  </w:style>
  <w:style w:type="character" w:styleId="1415" w:customStyle="1">
    <w:name w:val="批注主题 字符1"/>
    <w:uiPriority w:val="99"/>
    <w:semiHidden/>
    <w:qFormat/>
    <w:rPr>
      <w:rFonts w:ascii="Calibri" w:hAnsi="Calibri"/>
      <w:b/>
      <w:bCs/>
      <w:sz w:val="21"/>
      <w:szCs w:val="21"/>
    </w:rPr>
  </w:style>
  <w:style w:type="character" w:styleId="1416" w:customStyle="1">
    <w:name w:val="正文文本 字符"/>
    <w:basedOn w:val="1057"/>
    <w:link w:val="1065"/>
    <w:uiPriority w:val="0"/>
    <w:qFormat/>
  </w:style>
  <w:style w:type="character" w:styleId="1417" w:customStyle="1">
    <w:name w:val="批注框文本 字符"/>
    <w:link w:val="1073"/>
    <w:uiPriority w:val="99"/>
    <w:semiHidden/>
    <w:qFormat/>
    <w:rPr>
      <w:rFonts w:ascii="Calibri" w:hAnsi="Calibri"/>
      <w:sz w:val="18"/>
      <w:szCs w:val="18"/>
    </w:rPr>
  </w:style>
  <w:style w:type="paragraph" w:styleId="1418" w:customStyle="1">
    <w:name w:val="标题 212"/>
    <w:basedOn w:val="1096"/>
    <w:next w:val="1096"/>
    <w:uiPriority w:val="0"/>
    <w:qFormat/>
    <w:pPr>
      <w:numPr>
        <w:ilvl w:val="0"/>
        <w:numId w:val="2"/>
      </w:numPr>
      <w:keepLines/>
      <w:keepNext/>
      <w:spacing w:before="260" w:after="260" w:line="416" w:lineRule="auto"/>
      <w:outlineLvl w:val="1"/>
    </w:pPr>
    <w:rPr>
      <w:rFonts w:ascii="Cambria" w:hAnsi="Cambria"/>
      <w:bCs/>
      <w:sz w:val="28"/>
      <w:szCs w:val="32"/>
    </w:rPr>
  </w:style>
  <w:style w:type="character" w:styleId="1419" w:customStyle="1">
    <w:name w:val="正文文本缩进 字符"/>
    <w:link w:val="1066"/>
    <w:uiPriority w:val="0"/>
    <w:qFormat/>
    <w:rPr>
      <w:rFonts w:ascii="Calibri" w:hAnsi="Calibri"/>
      <w:sz w:val="21"/>
      <w:szCs w:val="21"/>
    </w:rPr>
  </w:style>
  <w:style w:type="table" w:styleId="1420" w:customStyle="1">
    <w:name w:val="网格型2"/>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table" w:styleId="1421" w:customStyle="1">
    <w:name w:val="Table Grid Light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22" w:customStyle="1">
    <w:name w:val="无格式表格 11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423" w:customStyle="1">
    <w:name w:val="无格式表格 211"/>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424" w:customStyle="1">
    <w:name w:val="无格式表格 311"/>
    <w:uiPriority w:val="99"/>
    <w:qFormat/>
    <w:tblPr>
      <w:tblCellMar>
        <w:left w:w="0" w:type="dxa"/>
        <w:top w:w="0" w:type="dxa"/>
        <w:right w:w="0" w:type="dxa"/>
        <w:bottom w:w="0" w:type="dxa"/>
      </w:tblCellMar>
    </w:tblPr>
  </w:style>
  <w:style w:type="table" w:styleId="1425" w:customStyle="1">
    <w:name w:val="无格式表格 411"/>
    <w:uiPriority w:val="99"/>
    <w:qFormat/>
    <w:tblPr>
      <w:tblCellMar>
        <w:left w:w="0" w:type="dxa"/>
        <w:top w:w="0" w:type="dxa"/>
        <w:right w:w="0" w:type="dxa"/>
        <w:bottom w:w="0" w:type="dxa"/>
      </w:tblCellMar>
    </w:tblPr>
  </w:style>
  <w:style w:type="table" w:styleId="1426" w:customStyle="1">
    <w:name w:val="无格式表格 511"/>
    <w:uiPriority w:val="99"/>
    <w:qFormat/>
    <w:tblPr>
      <w:tblCellMar>
        <w:left w:w="0" w:type="dxa"/>
        <w:top w:w="0" w:type="dxa"/>
        <w:right w:w="0" w:type="dxa"/>
        <w:bottom w:w="0" w:type="dxa"/>
      </w:tblCellMar>
    </w:tblPr>
  </w:style>
  <w:style w:type="table" w:styleId="1427" w:customStyle="1">
    <w:name w:val="网格表 1 浅色11"/>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428" w:customStyle="1">
    <w:name w:val="Grid Table 1 Light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429" w:customStyle="1">
    <w:name w:val="Grid Table 1 Light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430" w:customStyle="1">
    <w:name w:val="Grid Table 1 Light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431" w:customStyle="1">
    <w:name w:val="Grid Table 1 Light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432" w:customStyle="1">
    <w:name w:val="Grid Table 1 Light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433" w:customStyle="1">
    <w:name w:val="Grid Table 1 Light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434" w:customStyle="1">
    <w:name w:val="网格表 2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35" w:customStyle="1">
    <w:name w:val="Grid Table 2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36" w:customStyle="1">
    <w:name w:val="Grid Table 2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37" w:customStyle="1">
    <w:name w:val="Grid Table 2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38" w:customStyle="1">
    <w:name w:val="Grid Table 2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39" w:customStyle="1">
    <w:name w:val="Grid Table 2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0" w:customStyle="1">
    <w:name w:val="Grid Table 2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1" w:customStyle="1">
    <w:name w:val="网格表 311"/>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442" w:customStyle="1">
    <w:name w:val="Grid Table 3 - Accent 1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443" w:customStyle="1">
    <w:name w:val="Grid Table 3 - Accent 21"/>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44" w:customStyle="1">
    <w:name w:val="Grid Table 3 - Accent 31"/>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45" w:customStyle="1">
    <w:name w:val="Grid Table 3 - Accent 41"/>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46" w:customStyle="1">
    <w:name w:val="Grid Table 3 - Accent 51"/>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47" w:customStyle="1">
    <w:name w:val="Grid Table 3 - Accent 61"/>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48" w:customStyle="1">
    <w:name w:val="网格表 411"/>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449" w:customStyle="1">
    <w:name w:val="Grid Table 4 - Accent 1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450" w:customStyle="1">
    <w:name w:val="Grid Table 4 - Accent 21"/>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451" w:customStyle="1">
    <w:name w:val="Grid Table 4 - Accent 31"/>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452" w:customStyle="1">
    <w:name w:val="Grid Table 4 - Accent 41"/>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453" w:customStyle="1">
    <w:name w:val="Grid Table 4 - Accent 51"/>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54" w:customStyle="1">
    <w:name w:val="Grid Table 4 - Accent 61"/>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55" w:customStyle="1">
    <w:name w:val="网格表 5 深色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6" w:customStyle="1">
    <w:name w:val="Grid Table 5 Dark- Accent 1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7" w:customStyle="1">
    <w:name w:val="Grid Table 5 Dark - Accent 2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8" w:customStyle="1">
    <w:name w:val="Grid Table 5 Dark - Accent 3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59" w:customStyle="1">
    <w:name w:val="Grid Table 5 Dark- Accent 4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60" w:customStyle="1">
    <w:name w:val="Grid Table 5 Dark - Accent 5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61" w:customStyle="1">
    <w:name w:val="Grid Table 5 Dark - Accent 6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462" w:customStyle="1">
    <w:name w:val="网格表 6 彩色11"/>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63" w:customStyle="1">
    <w:name w:val="Grid Table 6 Colorful - Accent 1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64" w:customStyle="1">
    <w:name w:val="Grid Table 6 Colorful - Accent 21"/>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65" w:customStyle="1">
    <w:name w:val="Grid Table 6 Colorful - Accent 31"/>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66" w:customStyle="1">
    <w:name w:val="Grid Table 6 Colorful - Accent 41"/>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67" w:customStyle="1">
    <w:name w:val="Grid Table 6 Colorful - Accent 51"/>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468" w:customStyle="1">
    <w:name w:val="Grid Table 6 Colorful - Accent 61"/>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469" w:customStyle="1">
    <w:name w:val="网格表 7 彩色11"/>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470" w:customStyle="1">
    <w:name w:val="Grid Table 7 Colorful - Accent 1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471" w:customStyle="1">
    <w:name w:val="Grid Table 7 Colorful - Accent 21"/>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472" w:customStyle="1">
    <w:name w:val="Grid Table 7 Colorful - Accent 31"/>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473" w:customStyle="1">
    <w:name w:val="Grid Table 7 Colorful - Accent 41"/>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474" w:customStyle="1">
    <w:name w:val="Grid Table 7 Colorful - Accent 51"/>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475" w:customStyle="1">
    <w:name w:val="Grid Table 7 Colorful - Accent 61"/>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476" w:customStyle="1">
    <w:name w:val="清单表 1 浅色11"/>
    <w:uiPriority w:val="99"/>
    <w:qFormat/>
    <w:tblPr>
      <w:tblCellMar>
        <w:left w:w="0" w:type="dxa"/>
        <w:top w:w="0" w:type="dxa"/>
        <w:right w:w="0" w:type="dxa"/>
        <w:bottom w:w="0" w:type="dxa"/>
      </w:tblCellMar>
    </w:tblPr>
  </w:style>
  <w:style w:type="table" w:styleId="1477" w:customStyle="1">
    <w:name w:val="List Table 1 Light - Accent 11"/>
    <w:uiPriority w:val="99"/>
    <w:qFormat/>
    <w:tblPr>
      <w:tblCellMar>
        <w:left w:w="0" w:type="dxa"/>
        <w:top w:w="0" w:type="dxa"/>
        <w:right w:w="0" w:type="dxa"/>
        <w:bottom w:w="0" w:type="dxa"/>
      </w:tblCellMar>
    </w:tblPr>
  </w:style>
  <w:style w:type="table" w:styleId="1478" w:customStyle="1">
    <w:name w:val="List Table 1 Light - Accent 21"/>
    <w:uiPriority w:val="99"/>
    <w:qFormat/>
    <w:tblPr>
      <w:tblCellMar>
        <w:left w:w="0" w:type="dxa"/>
        <w:top w:w="0" w:type="dxa"/>
        <w:right w:w="0" w:type="dxa"/>
        <w:bottom w:w="0" w:type="dxa"/>
      </w:tblCellMar>
    </w:tblPr>
  </w:style>
  <w:style w:type="table" w:styleId="1479" w:customStyle="1">
    <w:name w:val="List Table 1 Light - Accent 31"/>
    <w:uiPriority w:val="99"/>
    <w:qFormat/>
    <w:tblPr>
      <w:tblCellMar>
        <w:left w:w="0" w:type="dxa"/>
        <w:top w:w="0" w:type="dxa"/>
        <w:right w:w="0" w:type="dxa"/>
        <w:bottom w:w="0" w:type="dxa"/>
      </w:tblCellMar>
    </w:tblPr>
  </w:style>
  <w:style w:type="table" w:styleId="1480" w:customStyle="1">
    <w:name w:val="List Table 1 Light - Accent 41"/>
    <w:uiPriority w:val="99"/>
    <w:qFormat/>
    <w:tblPr>
      <w:tblCellMar>
        <w:left w:w="0" w:type="dxa"/>
        <w:top w:w="0" w:type="dxa"/>
        <w:right w:w="0" w:type="dxa"/>
        <w:bottom w:w="0" w:type="dxa"/>
      </w:tblCellMar>
    </w:tblPr>
  </w:style>
  <w:style w:type="table" w:styleId="1481" w:customStyle="1">
    <w:name w:val="List Table 1 Light - Accent 51"/>
    <w:uiPriority w:val="99"/>
    <w:qFormat/>
    <w:tblPr>
      <w:tblCellMar>
        <w:left w:w="0" w:type="dxa"/>
        <w:top w:w="0" w:type="dxa"/>
        <w:right w:w="0" w:type="dxa"/>
        <w:bottom w:w="0" w:type="dxa"/>
      </w:tblCellMar>
    </w:tblPr>
  </w:style>
  <w:style w:type="table" w:styleId="1482" w:customStyle="1">
    <w:name w:val="List Table 1 Light - Accent 61"/>
    <w:uiPriority w:val="99"/>
    <w:qFormat/>
    <w:tblPr>
      <w:tblCellMar>
        <w:left w:w="0" w:type="dxa"/>
        <w:top w:w="0" w:type="dxa"/>
        <w:right w:w="0" w:type="dxa"/>
        <w:bottom w:w="0" w:type="dxa"/>
      </w:tblCellMar>
    </w:tblPr>
  </w:style>
  <w:style w:type="table" w:styleId="1483" w:customStyle="1">
    <w:name w:val="清单表 211"/>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484" w:customStyle="1">
    <w:name w:val="List Table 2 - Accent 1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485" w:customStyle="1">
    <w:name w:val="List Table 2 - Accent 21"/>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486" w:customStyle="1">
    <w:name w:val="List Table 2 - Accent 31"/>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487" w:customStyle="1">
    <w:name w:val="List Table 2 - Accent 41"/>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488" w:customStyle="1">
    <w:name w:val="List Table 2 - Accent 51"/>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489" w:customStyle="1">
    <w:name w:val="List Table 2 - Accent 61"/>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490" w:customStyle="1">
    <w:name w:val="清单表 311"/>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491" w:customStyle="1">
    <w:name w:val="List Table 3 - Accent 1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492" w:customStyle="1">
    <w:name w:val="List Table 3 - Accent 21"/>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493" w:customStyle="1">
    <w:name w:val="List Table 3 - Accent 31"/>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494" w:customStyle="1">
    <w:name w:val="List Table 3 - Accent 41"/>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495" w:customStyle="1">
    <w:name w:val="List Table 3 - Accent 51"/>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496" w:customStyle="1">
    <w:name w:val="List Table 3 - Accent 61"/>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497" w:customStyle="1">
    <w:name w:val="清单表 411"/>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498" w:customStyle="1">
    <w:name w:val="List Table 4 - Accent 1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499" w:customStyle="1">
    <w:name w:val="List Table 4 - Accent 21"/>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500" w:customStyle="1">
    <w:name w:val="List Table 4 - Accent 31"/>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501" w:customStyle="1">
    <w:name w:val="List Table 4 - Accent 41"/>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502" w:customStyle="1">
    <w:name w:val="List Table 4 - Accent 51"/>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503" w:customStyle="1">
    <w:name w:val="List Table 4 - Accent 61"/>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504" w:customStyle="1">
    <w:name w:val="清单表 5 深色11"/>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505" w:customStyle="1">
    <w:name w:val="List Table 5 Dark - Accent 1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506" w:customStyle="1">
    <w:name w:val="List Table 5 Dark - Accent 21"/>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507" w:customStyle="1">
    <w:name w:val="List Table 5 Dark - Accent 31"/>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508" w:customStyle="1">
    <w:name w:val="List Table 5 Dark - Accent 41"/>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509" w:customStyle="1">
    <w:name w:val="List Table 5 Dark - Accent 51"/>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510" w:customStyle="1">
    <w:name w:val="List Table 5 Dark - Accent 61"/>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511" w:customStyle="1">
    <w:name w:val="清单表 6 彩色11"/>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512" w:customStyle="1">
    <w:name w:val="List Table 6 Colorful - Accent 1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513" w:customStyle="1">
    <w:name w:val="List Table 6 Colorful - Accent 21"/>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514" w:customStyle="1">
    <w:name w:val="List Table 6 Colorful - Accent 31"/>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515" w:customStyle="1">
    <w:name w:val="List Table 6 Colorful - Accent 41"/>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516" w:customStyle="1">
    <w:name w:val="List Table 6 Colorful - Accent 51"/>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517" w:customStyle="1">
    <w:name w:val="List Table 6 Colorful - Accent 61"/>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518" w:customStyle="1">
    <w:name w:val="清单表 7 彩色11"/>
    <w:uiPriority w:val="99"/>
    <w:qFormat/>
    <w:tblPr>
      <w:tblBorders>
        <w:right w:val="single" w:color="7F7F7F" w:sz="4" w:space="0"/>
      </w:tblBorders>
      <w:tblCellMar>
        <w:left w:w="0" w:type="dxa"/>
        <w:top w:w="0" w:type="dxa"/>
        <w:right w:w="0" w:type="dxa"/>
        <w:bottom w:w="0" w:type="dxa"/>
      </w:tblCellMar>
    </w:tblPr>
  </w:style>
  <w:style w:type="table" w:styleId="1519" w:customStyle="1">
    <w:name w:val="List Table 7 Colorful - Accent 11"/>
    <w:uiPriority w:val="99"/>
    <w:qFormat/>
    <w:tblPr>
      <w:tblBorders>
        <w:right w:val="single" w:color="4F81BD" w:sz="4" w:space="0"/>
      </w:tblBorders>
      <w:tblCellMar>
        <w:left w:w="0" w:type="dxa"/>
        <w:top w:w="0" w:type="dxa"/>
        <w:right w:w="0" w:type="dxa"/>
        <w:bottom w:w="0" w:type="dxa"/>
      </w:tblCellMar>
    </w:tblPr>
  </w:style>
  <w:style w:type="table" w:styleId="1520" w:customStyle="1">
    <w:name w:val="List Table 7 Colorful - Accent 21"/>
    <w:uiPriority w:val="99"/>
    <w:qFormat/>
    <w:tblPr>
      <w:tblBorders>
        <w:right w:val="single" w:color="D99695" w:sz="4" w:space="0"/>
      </w:tblBorders>
      <w:tblCellMar>
        <w:left w:w="0" w:type="dxa"/>
        <w:top w:w="0" w:type="dxa"/>
        <w:right w:w="0" w:type="dxa"/>
        <w:bottom w:w="0" w:type="dxa"/>
      </w:tblCellMar>
    </w:tblPr>
  </w:style>
  <w:style w:type="table" w:styleId="1521" w:customStyle="1">
    <w:name w:val="List Table 7 Colorful - Accent 31"/>
    <w:uiPriority w:val="99"/>
    <w:qFormat/>
    <w:tblPr>
      <w:tblBorders>
        <w:right w:val="single" w:color="C3D69B" w:sz="4" w:space="0"/>
      </w:tblBorders>
      <w:tblCellMar>
        <w:left w:w="0" w:type="dxa"/>
        <w:top w:w="0" w:type="dxa"/>
        <w:right w:w="0" w:type="dxa"/>
        <w:bottom w:w="0" w:type="dxa"/>
      </w:tblCellMar>
    </w:tblPr>
  </w:style>
  <w:style w:type="table" w:styleId="1522" w:customStyle="1">
    <w:name w:val="List Table 7 Colorful - Accent 41"/>
    <w:uiPriority w:val="99"/>
    <w:qFormat/>
    <w:tblPr>
      <w:tblBorders>
        <w:right w:val="single" w:color="B2A1C6" w:sz="4" w:space="0"/>
      </w:tblBorders>
      <w:tblCellMar>
        <w:left w:w="0" w:type="dxa"/>
        <w:top w:w="0" w:type="dxa"/>
        <w:right w:w="0" w:type="dxa"/>
        <w:bottom w:w="0" w:type="dxa"/>
      </w:tblCellMar>
    </w:tblPr>
  </w:style>
  <w:style w:type="table" w:styleId="1523" w:customStyle="1">
    <w:name w:val="List Table 7 Colorful - Accent 51"/>
    <w:uiPriority w:val="99"/>
    <w:qFormat/>
    <w:tblPr>
      <w:tblBorders>
        <w:right w:val="single" w:color="92CCDC" w:sz="4" w:space="0"/>
      </w:tblBorders>
      <w:tblCellMar>
        <w:left w:w="0" w:type="dxa"/>
        <w:top w:w="0" w:type="dxa"/>
        <w:right w:w="0" w:type="dxa"/>
        <w:bottom w:w="0" w:type="dxa"/>
      </w:tblCellMar>
    </w:tblPr>
  </w:style>
  <w:style w:type="table" w:styleId="1524" w:customStyle="1">
    <w:name w:val="List Table 7 Colorful - Accent 61"/>
    <w:uiPriority w:val="99"/>
    <w:qFormat/>
    <w:tblPr>
      <w:tblBorders>
        <w:right w:val="single" w:color="FAC090" w:sz="4" w:space="0"/>
      </w:tblBorders>
      <w:tblCellMar>
        <w:left w:w="0" w:type="dxa"/>
        <w:top w:w="0" w:type="dxa"/>
        <w:right w:w="0" w:type="dxa"/>
        <w:bottom w:w="0" w:type="dxa"/>
      </w:tblCellMar>
    </w:tblPr>
  </w:style>
  <w:style w:type="table" w:styleId="1525" w:customStyle="1">
    <w:name w:val="Lined - Accent 11"/>
    <w:uiPriority w:val="99"/>
    <w:qFormat/>
    <w:rPr>
      <w:color w:val="404040"/>
    </w:rPr>
    <w:tblPr>
      <w:tblCellMar>
        <w:left w:w="0" w:type="dxa"/>
        <w:top w:w="0" w:type="dxa"/>
        <w:right w:w="0" w:type="dxa"/>
        <w:bottom w:w="0" w:type="dxa"/>
      </w:tblCellMar>
    </w:tblPr>
  </w:style>
  <w:style w:type="table" w:styleId="1526" w:customStyle="1">
    <w:name w:val="Lined - Accent 21"/>
    <w:uiPriority w:val="99"/>
    <w:qFormat/>
    <w:rPr>
      <w:color w:val="404040"/>
    </w:rPr>
    <w:tblPr>
      <w:tblCellMar>
        <w:left w:w="0" w:type="dxa"/>
        <w:top w:w="0" w:type="dxa"/>
        <w:right w:w="0" w:type="dxa"/>
        <w:bottom w:w="0" w:type="dxa"/>
      </w:tblCellMar>
    </w:tblPr>
  </w:style>
  <w:style w:type="table" w:styleId="1527" w:customStyle="1">
    <w:name w:val="Lined - Accent 31"/>
    <w:uiPriority w:val="99"/>
    <w:qFormat/>
    <w:rPr>
      <w:color w:val="404040"/>
    </w:rPr>
    <w:tblPr>
      <w:tblCellMar>
        <w:left w:w="0" w:type="dxa"/>
        <w:top w:w="0" w:type="dxa"/>
        <w:right w:w="0" w:type="dxa"/>
        <w:bottom w:w="0" w:type="dxa"/>
      </w:tblCellMar>
    </w:tblPr>
  </w:style>
  <w:style w:type="table" w:styleId="1528" w:customStyle="1">
    <w:name w:val="Lined - Accent 41"/>
    <w:uiPriority w:val="99"/>
    <w:qFormat/>
    <w:rPr>
      <w:color w:val="404040"/>
    </w:rPr>
    <w:tblPr>
      <w:tblCellMar>
        <w:left w:w="0" w:type="dxa"/>
        <w:top w:w="0" w:type="dxa"/>
        <w:right w:w="0" w:type="dxa"/>
        <w:bottom w:w="0" w:type="dxa"/>
      </w:tblCellMar>
    </w:tblPr>
  </w:style>
  <w:style w:type="table" w:styleId="1529" w:customStyle="1">
    <w:name w:val="Lined - Accent 51"/>
    <w:uiPriority w:val="99"/>
    <w:qFormat/>
    <w:rPr>
      <w:color w:val="404040"/>
    </w:rPr>
    <w:tblPr>
      <w:tblCellMar>
        <w:left w:w="0" w:type="dxa"/>
        <w:top w:w="0" w:type="dxa"/>
        <w:right w:w="0" w:type="dxa"/>
        <w:bottom w:w="0" w:type="dxa"/>
      </w:tblCellMar>
    </w:tblPr>
  </w:style>
  <w:style w:type="table" w:styleId="1530" w:customStyle="1">
    <w:name w:val="Lined - Accent 61"/>
    <w:uiPriority w:val="99"/>
    <w:qFormat/>
    <w:rPr>
      <w:color w:val="404040"/>
    </w:rPr>
    <w:tblPr>
      <w:tblCellMar>
        <w:left w:w="0" w:type="dxa"/>
        <w:top w:w="0" w:type="dxa"/>
        <w:right w:w="0" w:type="dxa"/>
        <w:bottom w:w="0" w:type="dxa"/>
      </w:tblCellMar>
    </w:tblPr>
  </w:style>
  <w:style w:type="table" w:styleId="1531" w:customStyle="1">
    <w:name w:val="Bordered &amp; Lined - Accent 1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532" w:customStyle="1">
    <w:name w:val="Bordered &amp; Lined - Accent 21"/>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533" w:customStyle="1">
    <w:name w:val="Bordered &amp; Lined - Accent 31"/>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534" w:customStyle="1">
    <w:name w:val="Bordered &amp; Lined - Accent 41"/>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535" w:customStyle="1">
    <w:name w:val="Bordered &amp; Lined - Accent 51"/>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536" w:customStyle="1">
    <w:name w:val="Bordered &amp; Lined - Accent 61"/>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537" w:customStyle="1">
    <w:name w:val="Bordered1"/>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538" w:customStyle="1">
    <w:name w:val="Bordered - Accent 1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539" w:customStyle="1">
    <w:name w:val="Bordered - Accent 21"/>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540" w:customStyle="1">
    <w:name w:val="Bordered - Accent 31"/>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541" w:customStyle="1">
    <w:name w:val="Bordered - Accent 41"/>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542" w:customStyle="1">
    <w:name w:val="Bordered - Accent 51"/>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543" w:customStyle="1">
    <w:name w:val="Bordered - Accent 61"/>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544" w:customStyle="1">
    <w:name w:val="普通表格11"/>
    <w:uiPriority w:val="0"/>
    <w:qFormat/>
    <w:tblPr>
      <w:tblCellMar>
        <w:left w:w="0" w:type="dxa"/>
        <w:top w:w="0" w:type="dxa"/>
        <w:right w:w="0" w:type="dxa"/>
        <w:bottom w:w="0" w:type="dxa"/>
      </w:tblCellMar>
    </w:tblPr>
  </w:style>
  <w:style w:type="table" w:styleId="1545" w:customStyle="1">
    <w:name w:val="网格型11"/>
    <w:basedOn w:val="1282"/>
    <w:uiPriority w:val="0"/>
    <w:qFormat/>
    <w:pPr>
      <w:jc w:val="both"/>
      <w:widowControl w:val="off"/>
    </w:pPr>
    <w:tblPr/>
  </w:style>
  <w:style w:type="paragraph" w:styleId="1546" w:customStyle="1">
    <w:name w:val="列出段落2"/>
    <w:basedOn w:val="1270"/>
    <w:uiPriority w:val="0"/>
    <w:qFormat/>
    <w:pPr>
      <w:ind w:firstLine="420"/>
      <w:widowControl w:val="off"/>
    </w:pPr>
    <w:rPr>
      <w:sz w:val="21"/>
      <w:szCs w:val="24"/>
    </w:rPr>
  </w:style>
  <w:style w:type="table" w:styleId="1547" w:customStyle="1">
    <w:name w:val="TableNormal1"/>
    <w:uiPriority w:val="0"/>
    <w:semiHidden/>
    <w:qFormat/>
    <w:tblPr>
      <w:tblCellMar>
        <w:left w:w="0" w:type="dxa"/>
        <w:top w:w="0" w:type="dxa"/>
        <w:right w:w="0" w:type="dxa"/>
        <w:bottom w:w="0" w:type="dxa"/>
      </w:tblCellMar>
    </w:tblPr>
  </w:style>
  <w:style w:type="paragraph" w:styleId="1548" w:customStyle="1">
    <w:name w:val="_Style 11"/>
    <w:uiPriority w:val="1"/>
    <w:qFormat/>
    <w:pPr>
      <w:jc w:val="both"/>
      <w:widowControl w:val="off"/>
    </w:pPr>
    <w:rPr>
      <w:rFonts w:ascii="宋体" w:hAnsi="宋体" w:eastAsia="宋体" w:cs="宋体"/>
      <w:sz w:val="21"/>
      <w:szCs w:val="22"/>
      <w:lang w:val="en-US" w:eastAsia="zh-CN" w:bidi="ar-SA"/>
    </w:rPr>
  </w:style>
  <w:style w:type="paragraph" w:styleId="1549" w:customStyle="1">
    <w:name w:val="Table Text"/>
    <w:uiPriority w:val="0"/>
    <w:unhideWhenUsed/>
    <w:qFormat/>
    <w:pPr>
      <w:spacing w:before="80" w:after="80"/>
    </w:pPr>
    <w:rPr>
      <w:rFonts w:ascii="Times New Roman" w:hAnsi="Arial" w:eastAsia="Times New Roman" w:cs="Times New Roman"/>
      <w:sz w:val="18"/>
      <w:szCs w:val="18"/>
      <w:lang w:val="en-US" w:eastAsia="zh-CN" w:bidi="ar-SA"/>
    </w:rPr>
  </w:style>
  <w:style w:type="paragraph" w:styleId="1550" w:customStyle="1">
    <w:name w:val="标题1"/>
    <w:next w:val="1551"/>
    <w:uiPriority w:val="10"/>
    <w:qFormat/>
    <w:pPr>
      <w:contextualSpacing/>
      <w:spacing w:before="300"/>
    </w:pPr>
    <w:rPr>
      <w:rFonts w:ascii="Times New Roman" w:hAnsi="Times New Roman" w:eastAsia="宋体" w:cs="Times New Roman"/>
      <w:sz w:val="48"/>
      <w:szCs w:val="48"/>
      <w:lang w:val="en-US" w:eastAsia="zh-CN" w:bidi="ar-SA"/>
    </w:rPr>
  </w:style>
  <w:style w:type="paragraph" w:styleId="1551" w:customStyle="1">
    <w:name w:val="纯文本1"/>
    <w:uiPriority w:val="0"/>
    <w:qFormat/>
    <w:rPr>
      <w:rFonts w:ascii="宋体" w:hAnsi="Courier New" w:eastAsia="宋体" w:cs="Times New Roman"/>
      <w:sz w:val="21"/>
      <w:szCs w:val="21"/>
      <w:lang w:val="en-US" w:eastAsia="zh-CN" w:bidi="ar-SA"/>
    </w:rPr>
  </w:style>
  <w:style w:type="paragraph" w:styleId="1552" w:customStyle="1">
    <w:name w:val="列出段落11"/>
    <w:uiPriority w:val="0"/>
    <w:qFormat/>
    <w:pPr>
      <w:ind w:firstLine="420"/>
      <w:jc w:val="both"/>
      <w:widowControl w:val="off"/>
    </w:pPr>
    <w:rPr>
      <w:rFonts w:ascii="Times New Roman" w:hAnsi="Times New Roman" w:eastAsia="宋体" w:cs="Times New Roman"/>
      <w:sz w:val="21"/>
      <w:szCs w:val="24"/>
      <w:lang w:val="en-US" w:eastAsia="zh-CN" w:bidi="ar-SA"/>
    </w:rPr>
  </w:style>
  <w:style w:type="numbering" w:styleId="15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footer" Target="footer9.xml" /><Relationship Id="rId25" Type="http://schemas.openxmlformats.org/officeDocument/2006/relationships/customXml" Target="../customXml/item1.xml" /><Relationship Id="rId26" Type="http://schemas.openxmlformats.org/officeDocument/2006/relationships/customXml" Target="../customXml/item2.xml" /><Relationship Id="rId27" Type="http://schemas.openxmlformats.org/officeDocument/2006/relationships/customXml" Target="../customXml/item3.xml" /><Relationship Id="rId28" Type="http://schemas.openxmlformats.org/officeDocument/2006/relationships/customXml" Target="../customXml/item4.xml" /><Relationship Id="rId29"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w:settings xmlns:w="http://schemas.openxmlformats.org/wordprocessingml/2006/main">
  <w:SpecialFormsHighlight w:val="c9c8ff"/>
</w:settings>
</file>

<file path=customXml/item4.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5D0AEA6B-E499-4EEF-98A3-AFBB261C493E}"/>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李旺旺</cp:lastModifiedBy>
  <cp:revision>32</cp:revision>
  <dcterms:created xsi:type="dcterms:W3CDTF">2022-12-08T06:37:00Z</dcterms:created>
  <dcterms:modified xsi:type="dcterms:W3CDTF">2026-08-26T08:19:46Z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AE50C18B3AE74DD982185696DB07C7F0_13</vt:lpwstr>
  </property>
  <property fmtid="{D5CDD505-2E9C-101B-9397-08002B2CF9AE}" pid="4" name="KSOTemplateDocerSaveRecord">
    <vt:lpwstr>eyJoZGlkIjoiYmQzZjE3NmJiMGI4ZDVkZDZmY2Q1MjczMmVhMjc4NGEiLCJ1c2VySWQiOiI1Mjk5MjUwODcifQ==</vt:lpwstr>
  </property>
</Properties>
</file>